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9B" w:rsidRPr="00ED7A9B" w:rsidRDefault="00ED7A9B" w:rsidP="00ED7A9B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ED7A9B">
        <w:rPr>
          <w:rFonts w:ascii="標楷體" w:eastAsia="標楷體" w:hAnsi="標楷體" w:hint="eastAsia"/>
          <w:b/>
          <w:sz w:val="28"/>
        </w:rPr>
        <w:t>財團法人孫運璿學術基金會表揚傑出人士辦法</w:t>
      </w:r>
    </w:p>
    <w:p w:rsidR="00ED7A9B" w:rsidRPr="00ED7A9B" w:rsidRDefault="00ED7A9B" w:rsidP="00ED7A9B">
      <w:pPr>
        <w:jc w:val="right"/>
        <w:rPr>
          <w:rFonts w:ascii="標楷體" w:eastAsia="標楷體" w:hAnsi="標楷體"/>
          <w:sz w:val="22"/>
        </w:rPr>
      </w:pPr>
      <w:r w:rsidRPr="00ED7A9B">
        <w:rPr>
          <w:rFonts w:ascii="標楷體" w:eastAsia="標楷體" w:hAnsi="標楷體" w:hint="eastAsia"/>
          <w:sz w:val="22"/>
        </w:rPr>
        <w:t>八十五年九月十二日第一屆第三次董事會通過</w:t>
      </w:r>
    </w:p>
    <w:p w:rsidR="00ED7A9B" w:rsidRPr="00ED7A9B" w:rsidRDefault="00ED7A9B" w:rsidP="00ED7A9B">
      <w:pPr>
        <w:jc w:val="right"/>
        <w:rPr>
          <w:rFonts w:ascii="標楷體" w:eastAsia="標楷體" w:hAnsi="標楷體"/>
          <w:sz w:val="22"/>
        </w:rPr>
      </w:pPr>
      <w:r w:rsidRPr="00ED7A9B">
        <w:rPr>
          <w:rFonts w:ascii="標楷體" w:eastAsia="標楷體" w:hAnsi="標楷體" w:hint="eastAsia"/>
          <w:sz w:val="22"/>
        </w:rPr>
        <w:t>八十五年十二月二日第一屆第四次董事會通過</w:t>
      </w:r>
    </w:p>
    <w:p w:rsidR="00ED7A9B" w:rsidRPr="00ED7A9B" w:rsidRDefault="00ED7A9B" w:rsidP="00ED7A9B">
      <w:pPr>
        <w:jc w:val="right"/>
        <w:rPr>
          <w:rFonts w:ascii="標楷體" w:eastAsia="標楷體" w:hAnsi="標楷體"/>
          <w:sz w:val="22"/>
        </w:rPr>
      </w:pPr>
      <w:r w:rsidRPr="00ED7A9B">
        <w:rPr>
          <w:rFonts w:ascii="標楷體" w:eastAsia="標楷體" w:hAnsi="標楷體" w:hint="eastAsia"/>
          <w:sz w:val="22"/>
        </w:rPr>
        <w:t>八十六年四月廿二日第一屆第六次董事會修正</w:t>
      </w:r>
    </w:p>
    <w:p w:rsidR="00ED7A9B" w:rsidRPr="00ED7A9B" w:rsidRDefault="00ED7A9B" w:rsidP="00ED7A9B">
      <w:pPr>
        <w:jc w:val="right"/>
        <w:rPr>
          <w:rFonts w:ascii="標楷體" w:eastAsia="標楷體" w:hAnsi="標楷體"/>
          <w:sz w:val="22"/>
        </w:rPr>
      </w:pPr>
      <w:r w:rsidRPr="00ED7A9B">
        <w:rPr>
          <w:rFonts w:ascii="標楷體" w:eastAsia="標楷體" w:hAnsi="標楷體" w:hint="eastAsia"/>
          <w:sz w:val="22"/>
        </w:rPr>
        <w:t>八十八年一月廿二日第二屆第四次董事會修正</w:t>
      </w:r>
    </w:p>
    <w:p w:rsidR="00ED7A9B" w:rsidRPr="00ED7A9B" w:rsidRDefault="00ED7A9B" w:rsidP="00ED7A9B">
      <w:pPr>
        <w:jc w:val="right"/>
        <w:rPr>
          <w:rFonts w:ascii="標楷體" w:eastAsia="標楷體" w:hAnsi="標楷體"/>
          <w:sz w:val="22"/>
        </w:rPr>
      </w:pPr>
      <w:r w:rsidRPr="00ED7A9B">
        <w:rPr>
          <w:rFonts w:ascii="標楷體" w:eastAsia="標楷體" w:hAnsi="標楷體" w:hint="eastAsia"/>
          <w:sz w:val="22"/>
        </w:rPr>
        <w:t>八十九年十一月二日第三屆第三次董事會修正</w:t>
      </w:r>
    </w:p>
    <w:p w:rsidR="00ED7A9B" w:rsidRPr="00ED7A9B" w:rsidRDefault="00ED7A9B" w:rsidP="00ED7A9B">
      <w:pPr>
        <w:jc w:val="right"/>
        <w:rPr>
          <w:rFonts w:ascii="標楷體" w:eastAsia="標楷體" w:hAnsi="標楷體"/>
          <w:sz w:val="22"/>
        </w:rPr>
      </w:pPr>
      <w:r w:rsidRPr="00ED7A9B">
        <w:rPr>
          <w:rFonts w:ascii="標楷體" w:eastAsia="標楷體" w:hAnsi="標楷體" w:hint="eastAsia"/>
          <w:sz w:val="22"/>
        </w:rPr>
        <w:t>九十一年四月廿九日第三屆第九次董事會修正</w:t>
      </w:r>
    </w:p>
    <w:p w:rsidR="00ED7A9B" w:rsidRPr="00ED7A9B" w:rsidRDefault="00ED7A9B" w:rsidP="00ED7A9B">
      <w:pPr>
        <w:jc w:val="right"/>
        <w:rPr>
          <w:rFonts w:ascii="標楷體" w:eastAsia="標楷體" w:hAnsi="標楷體"/>
          <w:sz w:val="22"/>
        </w:rPr>
      </w:pPr>
      <w:r w:rsidRPr="00ED7A9B">
        <w:rPr>
          <w:rFonts w:ascii="標楷體" w:eastAsia="標楷體" w:hAnsi="標楷體" w:hint="eastAsia"/>
          <w:sz w:val="22"/>
        </w:rPr>
        <w:t>九十二年四月廿八日第四屆第一次董事會修正</w:t>
      </w:r>
    </w:p>
    <w:p w:rsidR="00ED7A9B" w:rsidRPr="00ED7A9B" w:rsidRDefault="00ED7A9B" w:rsidP="00ED7A9B">
      <w:pPr>
        <w:jc w:val="right"/>
        <w:rPr>
          <w:rFonts w:ascii="標楷體" w:eastAsia="標楷體" w:hAnsi="標楷體"/>
          <w:sz w:val="22"/>
        </w:rPr>
      </w:pPr>
      <w:r w:rsidRPr="00ED7A9B">
        <w:rPr>
          <w:rFonts w:ascii="標楷體" w:eastAsia="標楷體" w:hAnsi="標楷體" w:hint="eastAsia"/>
          <w:sz w:val="22"/>
        </w:rPr>
        <w:t>九十六年七月十七日第五屆第六次董事會修正</w:t>
      </w:r>
    </w:p>
    <w:p w:rsidR="00ED7A9B" w:rsidRPr="00ED7A9B" w:rsidRDefault="00ED7A9B" w:rsidP="00ED7A9B">
      <w:pPr>
        <w:jc w:val="right"/>
        <w:rPr>
          <w:rFonts w:ascii="標楷體" w:eastAsia="標楷體" w:hAnsi="標楷體"/>
          <w:sz w:val="22"/>
        </w:rPr>
      </w:pPr>
      <w:r w:rsidRPr="00ED7A9B">
        <w:rPr>
          <w:rFonts w:ascii="標楷體" w:eastAsia="標楷體" w:hAnsi="標楷體" w:hint="eastAsia"/>
          <w:sz w:val="22"/>
        </w:rPr>
        <w:t>一00年四月二十八日第六屆第七次董事會修正</w:t>
      </w:r>
    </w:p>
    <w:p w:rsidR="00ED7A9B" w:rsidRPr="00ED7A9B" w:rsidRDefault="00ED7A9B" w:rsidP="00ED7A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財團法人孫運璿學術基金會（以下簡稱本會），為表揚政府部門有重要貢獻之傑出人士，並獎助其在國外從事考察訪問（以一個月為原則），以擴大其見聞與學養，增進其發展潛力，特訂定本辦法。</w:t>
      </w:r>
    </w:p>
    <w:p w:rsidR="00ED7A9B" w:rsidRPr="00ED7A9B" w:rsidRDefault="00ED7A9B" w:rsidP="00ED7A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表揚之對象：</w:t>
      </w:r>
    </w:p>
    <w:p w:rsidR="00ED7A9B" w:rsidRPr="00ED7A9B" w:rsidRDefault="00ED7A9B" w:rsidP="00ED7A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各級政府機構在職或離職未滿一年之公務員；</w:t>
      </w:r>
    </w:p>
    <w:p w:rsidR="00ED7A9B" w:rsidRPr="00ED7A9B" w:rsidRDefault="00ED7A9B" w:rsidP="00ED7A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在公務上能力卓越，有傑出表現者；</w:t>
      </w:r>
    </w:p>
    <w:p w:rsidR="00ED7A9B" w:rsidRPr="00ED7A9B" w:rsidRDefault="00ED7A9B" w:rsidP="00ED7A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每年遴選二至三人，予以公開表揚：</w:t>
      </w:r>
    </w:p>
    <w:p w:rsidR="00ED7A9B" w:rsidRPr="00ED7A9B" w:rsidRDefault="00ED7A9B" w:rsidP="00ED7A9B">
      <w:pPr>
        <w:pStyle w:val="a3"/>
        <w:ind w:leftChars="0" w:left="120" w:firstLineChars="150" w:firstLine="360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(一)致贈獎牌（章）一座。</w:t>
      </w:r>
    </w:p>
    <w:p w:rsidR="00ED7A9B" w:rsidRPr="00ED7A9B" w:rsidRDefault="00ED7A9B" w:rsidP="00ED7A9B">
      <w:pPr>
        <w:pStyle w:val="a3"/>
        <w:ind w:leftChars="199" w:left="992" w:hangingChars="214" w:hanging="514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(二)獎助新台幣壹百萬元，肯定其貢獻並供其在國外考察訪問之需。其中伍拾萬元於公開場合頒發，伍拾萬元於繳交考察研究報告後發給。</w:t>
      </w:r>
    </w:p>
    <w:p w:rsidR="00ED7A9B" w:rsidRPr="00ED7A9B" w:rsidRDefault="00ED7A9B" w:rsidP="00ED7A9B">
      <w:pPr>
        <w:ind w:left="420" w:hangingChars="175" w:hanging="420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四、各級政府機構得就符合前條條件之對象最多各推薦一人，推薦時請填送推薦書，詳敘被推薦人之重要貢獻，並檢附被推薦人之學經歷表，考察訪問或進修計畫書、行程表（以上格式如附件），各一式三份。</w:t>
      </w:r>
    </w:p>
    <w:p w:rsidR="00ED7A9B" w:rsidRPr="00ED7A9B" w:rsidRDefault="00ED7A9B" w:rsidP="00ED7A9B">
      <w:pPr>
        <w:ind w:leftChars="177" w:left="425" w:firstLineChars="200" w:firstLine="480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本會可公開徵求適當人選、各機關團體及社會賢達認為有適當人選時，亦得推薦，所有被徵求或被推薦人選，仍在職者需有主管之推薦函，各種書表比照前函之規定。</w:t>
      </w:r>
    </w:p>
    <w:p w:rsidR="00ED7A9B" w:rsidRPr="00ED7A9B" w:rsidRDefault="00ED7A9B" w:rsidP="00ED7A9B">
      <w:pPr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五、各機關之候選人經本會評審為被表揚人時，請予以下之配合措施：</w:t>
      </w:r>
    </w:p>
    <w:p w:rsidR="00ED7A9B" w:rsidRPr="00ED7A9B" w:rsidRDefault="00ED7A9B" w:rsidP="00ED7A9B">
      <w:pPr>
        <w:pStyle w:val="a3"/>
        <w:ind w:leftChars="199" w:left="992" w:hangingChars="214" w:hanging="514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(一)給與被表揚人一個月公假（一次或分為二至三次），供其出國考察訪問，並協助安排行程。</w:t>
      </w:r>
    </w:p>
    <w:p w:rsidR="00ED7A9B" w:rsidRPr="00ED7A9B" w:rsidRDefault="00ED7A9B" w:rsidP="00ED7A9B">
      <w:pPr>
        <w:pStyle w:val="a3"/>
        <w:ind w:leftChars="199" w:left="992" w:hangingChars="214" w:hanging="514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(二)督促被表揚人在領取本會獎金後，必須在一年內完成出國考察訪問。</w:t>
      </w:r>
    </w:p>
    <w:p w:rsidR="00ED7A9B" w:rsidRPr="00ED7A9B" w:rsidRDefault="00ED7A9B" w:rsidP="00ED7A9B">
      <w:pPr>
        <w:pStyle w:val="a3"/>
        <w:ind w:leftChars="199" w:left="992" w:hangingChars="214" w:hanging="514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(三)本會以被表揚人之考察訪問報告舉辦公開發表會時，予以支援協助。</w:t>
      </w:r>
    </w:p>
    <w:p w:rsidR="00ED7A9B" w:rsidRPr="00ED7A9B" w:rsidRDefault="00ED7A9B" w:rsidP="00ED7A9B">
      <w:pPr>
        <w:ind w:leftChars="177" w:left="425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由本會董事、各機關團體及社會賢達推薦之被表揚人亦需利用休假完成考察訪問。</w:t>
      </w:r>
    </w:p>
    <w:p w:rsidR="00ED7A9B" w:rsidRPr="00ED7A9B" w:rsidRDefault="00ED7A9B" w:rsidP="00ED7A9B">
      <w:pPr>
        <w:ind w:left="420" w:hangingChars="175" w:hanging="420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六、被表揚人於完成考察訪問後，應在六個月內檢具考察訪問報告三份送交本會，或舉辦考察訪問成果說明會，將紀錄送交本會。</w:t>
      </w:r>
    </w:p>
    <w:p w:rsidR="006E4579" w:rsidRPr="00ED7A9B" w:rsidRDefault="00ED7A9B" w:rsidP="00ED7A9B">
      <w:pPr>
        <w:ind w:left="420" w:hangingChars="175" w:hanging="420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七、本辦法經本會董事會通過後實行，修正時亦同。</w:t>
      </w:r>
    </w:p>
    <w:sectPr w:rsidR="006E4579" w:rsidRPr="00ED7A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E8" w:rsidRDefault="00A14BE8" w:rsidP="00A14BE8">
      <w:r>
        <w:separator/>
      </w:r>
    </w:p>
  </w:endnote>
  <w:endnote w:type="continuationSeparator" w:id="0">
    <w:p w:rsidR="00A14BE8" w:rsidRDefault="00A14BE8" w:rsidP="00A1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E8" w:rsidRDefault="00A14BE8" w:rsidP="00A14BE8">
      <w:r>
        <w:separator/>
      </w:r>
    </w:p>
  </w:footnote>
  <w:footnote w:type="continuationSeparator" w:id="0">
    <w:p w:rsidR="00A14BE8" w:rsidRDefault="00A14BE8" w:rsidP="00A14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73EBA"/>
    <w:multiLevelType w:val="hybridMultilevel"/>
    <w:tmpl w:val="620AB3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C157F5"/>
    <w:multiLevelType w:val="hybridMultilevel"/>
    <w:tmpl w:val="2E6EAA90"/>
    <w:lvl w:ilvl="0" w:tplc="DDB0650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9B"/>
    <w:rsid w:val="000B0FB2"/>
    <w:rsid w:val="00246189"/>
    <w:rsid w:val="006E4579"/>
    <w:rsid w:val="00A14BE8"/>
    <w:rsid w:val="00CD09E4"/>
    <w:rsid w:val="00E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A9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14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4B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4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4B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A9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14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4B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4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4B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吳岳軒</dc:creator>
  <cp:lastModifiedBy>總發文呂志彥</cp:lastModifiedBy>
  <cp:revision>2</cp:revision>
  <dcterms:created xsi:type="dcterms:W3CDTF">2014-05-19T08:20:00Z</dcterms:created>
  <dcterms:modified xsi:type="dcterms:W3CDTF">2014-05-26T06:49:00Z</dcterms:modified>
</cp:coreProperties>
</file>