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34" w:rsidRPr="00C71C34" w:rsidRDefault="00C71C34" w:rsidP="00C71C34">
      <w:pPr>
        <w:widowControl/>
        <w:spacing w:line="450" w:lineRule="atLeast"/>
        <w:rPr>
          <w:rFonts w:ascii="標楷體" w:eastAsia="標楷體" w:hAnsi="標楷體" w:cs="新細明體"/>
          <w:b/>
          <w:kern w:val="0"/>
          <w:sz w:val="27"/>
          <w:szCs w:val="27"/>
        </w:rPr>
      </w:pPr>
      <w:r w:rsidRPr="00C71C34">
        <w:rPr>
          <w:rFonts w:ascii="標楷體" w:eastAsia="標楷體" w:hAnsi="標楷體" w:cs="新細明體"/>
          <w:b/>
          <w:kern w:val="0"/>
          <w:sz w:val="27"/>
          <w:szCs w:val="27"/>
        </w:rPr>
        <w:t>法規名稱：</w:t>
      </w:r>
      <w:bookmarkStart w:id="0" w:name="_GoBack"/>
      <w:r w:rsidRPr="00C71C34">
        <w:rPr>
          <w:rFonts w:ascii="標楷體" w:eastAsia="標楷體" w:hAnsi="標楷體" w:cs="新細明體"/>
          <w:b/>
          <w:kern w:val="0"/>
          <w:sz w:val="27"/>
          <w:szCs w:val="27"/>
        </w:rPr>
        <w:t>工友管理要點</w:t>
      </w:r>
    </w:p>
    <w:bookmarkEnd w:id="0"/>
    <w:p w:rsidR="00C71C34" w:rsidRPr="00C71C34" w:rsidRDefault="00C71C34" w:rsidP="00C71C34">
      <w:pPr>
        <w:widowControl/>
        <w:spacing w:line="450" w:lineRule="atLeast"/>
        <w:jc w:val="right"/>
        <w:rPr>
          <w:rFonts w:ascii="標楷體" w:eastAsia="標楷體" w:hAnsi="標楷體" w:cs="新細明體"/>
          <w:b/>
          <w:kern w:val="0"/>
          <w:sz w:val="27"/>
          <w:szCs w:val="27"/>
        </w:rPr>
      </w:pPr>
      <w:r w:rsidRPr="00C71C34">
        <w:rPr>
          <w:rFonts w:ascii="標楷體" w:eastAsia="標楷體" w:hAnsi="標楷體" w:cs="新細明體"/>
          <w:b/>
          <w:kern w:val="0"/>
          <w:sz w:val="27"/>
          <w:szCs w:val="27"/>
        </w:rPr>
        <w:t>修正時間：107.11.18</w:t>
      </w:r>
    </w:p>
    <w:p w:rsidR="00C71C34" w:rsidRPr="00C71C34" w:rsidRDefault="00C71C34" w:rsidP="00C71C34">
      <w:pPr>
        <w:widowControl/>
        <w:spacing w:line="450" w:lineRule="atLeast"/>
        <w:rPr>
          <w:rFonts w:ascii="標楷體" w:eastAsia="標楷體" w:hAnsi="標楷體" w:cs="新細明體"/>
          <w:b/>
          <w:kern w:val="0"/>
          <w:sz w:val="27"/>
          <w:szCs w:val="27"/>
        </w:rPr>
      </w:pP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壹、總則</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一、行政院為統一規範所屬各級機關、公立學校（以下簡稱各機關）工友</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管理事項，以作為各機關訂立工友工作規則及勞動契約之準據，特訂</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定本要點。</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二、行政院所屬各機關之工友管理事項，適用本要點。</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行政院以外之中央及地方各級機關、公立學校，其工友之待遇、獎金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、退休、撫卹及其他給與事項，適用本要點；其餘工友管理事項，得</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準用本要點。</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三、本要點所稱工友，指各機關編制內之普通工友及技術工友（含駕駛）</w:t>
      </w:r>
    </w:p>
    <w:p w:rsid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 w:val="27"/>
          <w:szCs w:val="27"/>
        </w:rPr>
      </w:pPr>
      <w:r w:rsidRPr="00C71C34">
        <w:rPr>
          <w:rFonts w:ascii="標楷體" w:eastAsia="標楷體" w:hAnsi="標楷體" w:cs="細明體" w:hint="eastAsia"/>
          <w:kern w:val="0"/>
          <w:sz w:val="27"/>
          <w:szCs w:val="27"/>
        </w:rPr>
        <w:t xml:space="preserve">    。</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貳、僱用</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四、各機關僱用之普通工友應注意其品德，並應具備條件如下：</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（一）國民小學以上學校畢業或具有同等學歷。</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（二）年滿十八歲，且未受監護或輔助宣告。但未滿二十歲者，於訂立</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勞動契約時，應經法定代理人之允許，機關方得僱用。</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（三）無曾服公務有貪污行為，經有罪判決確定或通緝有案尚未結案之</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情形。</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技術工友除應具備前項各款條件外，並須具備工作所需之技術專長。</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除前二項所定條件外，於法令許可範圍內，得另定更為嚴格之條件。</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各機關於僱用工友時，應將前三項及第五點所定條件，納入勞動契約</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規範，明定如有違反，且構成勞動基準法所定終止勞動契約之要件者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，得依法終止勞動契約，並加附具結書（格式如附件一），併案歸檔</w:t>
      </w:r>
      <w:r>
        <w:rPr>
          <w:rFonts w:ascii="標楷體" w:eastAsia="標楷體" w:hAnsi="標楷體" w:cs="細明體" w:hint="eastAsia"/>
          <w:kern w:val="0"/>
          <w:sz w:val="27"/>
          <w:szCs w:val="27"/>
        </w:rPr>
        <w:t>。</w:t>
      </w:r>
    </w:p>
    <w:p w:rsidR="00C71C34" w:rsidRPr="00C71C34" w:rsidRDefault="00C71C34" w:rsidP="00C71C34">
      <w:pPr>
        <w:widowControl/>
        <w:spacing w:line="450" w:lineRule="atLeast"/>
        <w:rPr>
          <w:rFonts w:ascii="標楷體" w:eastAsia="標楷體" w:hAnsi="標楷體" w:cs="新細明體" w:hint="eastAsia"/>
          <w:kern w:val="0"/>
          <w:sz w:val="27"/>
          <w:szCs w:val="27"/>
        </w:rPr>
      </w:pPr>
      <w:r w:rsidRPr="00C71C34">
        <w:rPr>
          <w:rFonts w:ascii="標楷體" w:eastAsia="標楷體" w:hAnsi="標楷體" w:cs="新細明體"/>
          <w:kern w:val="0"/>
          <w:sz w:val="27"/>
          <w:szCs w:val="27"/>
        </w:rPr>
        <w:t>附件一-具結書.pdf</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五、各機關僱用工友，應符合就業服務法及臺灣地區與大陸地區人民關係</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條例等相關規定。</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各機關首長於公務人員任用法第二十六條之一第一項各款所定期間內</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，不得僱用工友。但屬他機關向本機關商請移撥之同意，不在此限。</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lastRenderedPageBreak/>
        <w:t xml:space="preserve">    各機關僱用工友，不得違反公職人員利益衝突迴避法之規定。</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各機關首長不得僱用其配偶及三親等以內血親、姻親為本機關之工友</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；對於本機關各級主管之配偶及三親等以內血親、姻親，在其主管單</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位中應迴避僱用。但在機關首長或各級主管接任以前僱用者，不在此</w:t>
      </w:r>
    </w:p>
    <w:p w:rsid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 w:val="27"/>
          <w:szCs w:val="27"/>
        </w:rPr>
      </w:pPr>
      <w:r w:rsidRPr="00C71C34">
        <w:rPr>
          <w:rFonts w:ascii="標楷體" w:eastAsia="標楷體" w:hAnsi="標楷體" w:cs="細明體" w:hint="eastAsia"/>
          <w:kern w:val="0"/>
          <w:sz w:val="27"/>
          <w:szCs w:val="27"/>
        </w:rPr>
        <w:t xml:space="preserve">    限。</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 w:val="27"/>
          <w:szCs w:val="27"/>
        </w:rPr>
      </w:pPr>
      <w:r w:rsidRPr="00C71C34">
        <w:rPr>
          <w:rFonts w:ascii="標楷體" w:eastAsia="標楷體" w:hAnsi="標楷體" w:cs="細明體" w:hint="eastAsia"/>
          <w:kern w:val="0"/>
          <w:sz w:val="27"/>
          <w:szCs w:val="27"/>
        </w:rPr>
        <w:t xml:space="preserve">  參、服務</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六、工友於上班或服勤時間不得兼職。但在不影響本職工作且經機關核准</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者，得兼任不支領酬勞之職務。</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工友於下班時間兼職者，不得影響勞動契約之履行。</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七、工友除得依其他法規申請留職停薪外，其具有下列各款情形之一者，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亦得申請留職停薪，並由各機關考量業務狀況依權責辦理：</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（一）本人或配偶之直系血親尊親屬年滿六十五歲以上或重大傷病須侍</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奉。</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（二）配偶或子女重大傷病須照護。</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（三）配偶於各機關、公立學校、公營事業機構或軍事單位服務，因公</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務需要派赴國外工作，其期間在一年以上須隨同前往。</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前項各款留職停薪期間，均以二年為限，必要時得延長一年。</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第一項第一款及第二款所定重大傷病，應由各機關依申請留職停薪工</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友提出之中央衛生主管機關評鑑合格醫院開具之證明文件，參酌全民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健康保險法所定重大傷病範圍覈實認定。</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工友因案涉訟被羈押，或經有罪判決確定而執行拘役或易服勞役或社</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會勞動，致不能到工服勤者，除有勞動基準法所定終止勞動契約之情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事外，經以當年度事假及休假抵充後仍不足者，應予留職停薪，期間</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至羈押、拘役、勞役或社會勞動執行完畢為止。但工友已符合退休條</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件者，得依其意願辦理退休。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留職停薪之工友，應於留職停薪期間屆滿之次日復職。但留職停薪無</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確定期間或期間屆滿前，留職停薪原因已消滅者，工友應自原因消滅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之日起二十日內向服務機關申請復職，服務機關應於受理之日起三十</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日內通知其復職。</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工友未依前項規定復職或申請復職者，服務機關應於知悉後通知工友</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於十日內復職。工友經機關通知後，逾期仍未復職者，機關得依勞動</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lastRenderedPageBreak/>
        <w:t xml:space="preserve">    基準法相關規定，終止勞動契約。</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八、工友得加入政黨或其他政治團體，但不得介入黨政派系紛爭。</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工友辦理事務時應維持中立，依據法令忠實執行職務，且不得從事下</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列行為：</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（一）利用其身分或事務上之機會或方法，使他人加入或不加入政黨或</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其他政治團體，或要求他人參加或不參加政黨或其他政治團體有</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關之選舉活動。</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（二）於上班或服勤時間，從事政黨或其他政治團體之活動。</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（三）利用其身分或事務上之機會或方法，為政黨、其他政治團體或擬</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參選人要求、期約或收受金錢、物品或其他利益之捐助，或阻止</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或妨礙他人為特定政黨、其他政治團體或擬參選人依法募款之活</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動。</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（四）為支持或反對特定之政黨、其他政治團體或公職候選人，動用行</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政資源編印製、散發、張貼文書、圖畫、其他宣傳品或辦理相關</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活動，或在辦公場所懸掛、張貼、穿戴或標示特定政黨、其他政</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治團體或公職候選人之旗幟、徽章或服飾。</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（五）對於公職人員之選舉、罷免或公民投票，利用其身分或事務上之</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機會或方法，要求他人不行使投票權或為一定之行使。</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工友違反前二項規定者，應按情節輕重，依各機關工作規則、勞動契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約、平時考核及獎懲等相關規定處理之；其涉及其他法律責任者，依</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有關法律處理之。</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九、工友登記為公職候選人者，自候選人名單公告之日起至投票日止，得</w:t>
      </w:r>
    </w:p>
    <w:p w:rsid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 w:val="27"/>
          <w:szCs w:val="27"/>
        </w:rPr>
      </w:pPr>
      <w:r w:rsidRPr="00C71C34">
        <w:rPr>
          <w:rFonts w:ascii="標楷體" w:eastAsia="標楷體" w:hAnsi="標楷體" w:cs="細明體" w:hint="eastAsia"/>
          <w:kern w:val="0"/>
          <w:sz w:val="27"/>
          <w:szCs w:val="27"/>
        </w:rPr>
        <w:t xml:space="preserve">    依規定請事假或休假，長官不得拒絕。</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肆、請假</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十、工友請假，除行政院另有規定外，應比照公務人員請假規則及其相關</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規定辦理。但工友之祖父母及其配偶之繼父母喪亡者，給予喪假六日</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十一、工友休假年資之計算，以各機關編制內工友之服務年資為準。但具</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有下列服務年資且年資銜接，並檢具相關證明文件者，准予併計：</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（一）非因勞動基準法第十二條第一項各款規定終止勞動契約，經機</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關相互同意移撥或辭僱後再受僱者。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lastRenderedPageBreak/>
        <w:t xml:space="preserve">    （二）曾任軍職人員退伍或替代役退役者。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（三）曾受僱為各機關（構）編制內之職員、工級人員或依各機關學</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校團體駐衛警察設置管理辦法進用者。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（四）於中華民國六十四年十一月三日前，已擔任臨時工友，並於編</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餘工友處理原則所定七十年六月三十日期限前，改僱為編制內</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（五）曾任依聘用人員聘用條例，或行政院暨所屬機關約僱人員僱用</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辦法進用，或行政院及所屬機關以外機關比照上開辦法規定約</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僱之人員者。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（六）曾任應徵召服兵役員工（包含職員及工友）職務輪代人員者。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前項各款人員於改僱為工友時年資未銜接者，得按受僱當月至年終</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之在職月數比例，於次年一月起併計年資依第十點核給休假。</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第一項各款人員於改僱為工友時年資銜接者，改僱當年之休假不得</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重複核給。改僱前之休假給假日數與工友休假給假日數不一致者，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改僱當年度之休假日數，分別按在職月數比例分段計算（改僱當月</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以工友身分計算），再行加總後，在不重複核給原則下，扣除已實</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施之休假日數，所餘休假日數依第十點核給休假。</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臨時人員於本機關改僱為工友，且年資銜接者，得併計休假年資，</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其改僱當年度之休假日數，依前項規定辦理。</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十二、工友延長病假期間，各機關應給與餉給總額之全數。</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前項所稱餉給總額，包括工餉、職務加給、技術或專業加給及地域</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加給。</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十三、工友具有下列情形之一者，各機關應以曠職論，並按日扣除餉給總</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額：</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（一）無正當理由未辦妥請假手續擅離職守。</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（二）假期已滿仍未銷假。</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（三）請假有虛偽情事。</w:t>
      </w:r>
    </w:p>
    <w:p w:rsid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 w:val="27"/>
          <w:szCs w:val="27"/>
        </w:rPr>
      </w:pPr>
      <w:r w:rsidRPr="00C71C34">
        <w:rPr>
          <w:rFonts w:ascii="標楷體" w:eastAsia="標楷體" w:hAnsi="標楷體" w:cs="細明體" w:hint="eastAsia"/>
          <w:kern w:val="0"/>
          <w:sz w:val="27"/>
          <w:szCs w:val="27"/>
        </w:rPr>
        <w:t xml:space="preserve">  </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伍、待遇</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十四、各機關應按行政院規定支給工友待遇，除法令另有規定外，均自報</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到之日起支，離職之日停支。但死亡當月之待遇按全月支給。</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十五、工友之工餉，分本餉、年功餉，各機關應依各機關學校工友工餉核</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lastRenderedPageBreak/>
        <w:t xml:space="preserve">      支標準表（如附件二）規定核支。其係後備軍人轉業者，並依後備</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軍人轉任各機關學校工友提支餉級標準表（如附件三）規定，於原</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任軍階提支級數範圍內，按年核計加級至本餉最高級；如尚有積餘</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年資，且其年終考績考列乙等以上，則按年核計加級至年功餉最高</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級。</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各機關技術工友，因業務需要，經移撥為不同機關普通工友者，或</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經轉化為同一機關普通工友且原技術工友缺額不再遞補者，應維持</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其原支技術工友工餉及專業加給，其年終考核結果仍得在原支技術</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工友餉級內晉支至年功餉最高級。經依上開規定續支原技術工友餉</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級，嗣再移撥為其他機關普通工友者，其餉級核支及年終考核之晉</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支，均予維持原技術工友之規定。</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各機關技術工友，因業務需要，經轉化為同一機關普通工友，原技</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術工友缺額仍予遞補者，依其原支技術工友工餉，在不超過所任普</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通工友規定最高年功餉級及專業加給範圍內支給。</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各機關（構）編制內工級人員，因機關（構）改制、裁併或組織精</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簡，經安置或移撥至各機關者，得依其學歷起支工友餉級，再以其</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年終考核合於晉支餉級規定之服務年資，按年核計加級至年功餉最</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高級。</w:t>
      </w:r>
    </w:p>
    <w:p w:rsidR="00C71C34" w:rsidRPr="00C71C34" w:rsidRDefault="00C71C34" w:rsidP="00C71C34">
      <w:pPr>
        <w:widowControl/>
        <w:spacing w:line="450" w:lineRule="atLeast"/>
        <w:rPr>
          <w:rFonts w:ascii="標楷體" w:eastAsia="標楷體" w:hAnsi="標楷體" w:cs="新細明體" w:hint="eastAsia"/>
          <w:kern w:val="0"/>
          <w:sz w:val="27"/>
          <w:szCs w:val="27"/>
        </w:rPr>
      </w:pPr>
      <w:r w:rsidRPr="00C71C34">
        <w:rPr>
          <w:rFonts w:ascii="標楷體" w:eastAsia="標楷體" w:hAnsi="標楷體" w:cs="新細明體"/>
          <w:kern w:val="0"/>
          <w:sz w:val="27"/>
          <w:szCs w:val="27"/>
        </w:rPr>
        <w:t>附件二-各機關學校工友工餉核支標準表.pdf</w:t>
      </w:r>
    </w:p>
    <w:p w:rsidR="00C71C34" w:rsidRPr="00C71C34" w:rsidRDefault="00C71C34" w:rsidP="00C71C34">
      <w:pPr>
        <w:widowControl/>
        <w:spacing w:line="450" w:lineRule="atLeast"/>
        <w:rPr>
          <w:rFonts w:ascii="標楷體" w:eastAsia="標楷體" w:hAnsi="標楷體" w:cs="新細明體"/>
          <w:kern w:val="0"/>
          <w:sz w:val="27"/>
          <w:szCs w:val="27"/>
        </w:rPr>
      </w:pPr>
      <w:r w:rsidRPr="00C71C34">
        <w:rPr>
          <w:rFonts w:ascii="標楷體" w:eastAsia="標楷體" w:hAnsi="標楷體" w:cs="新細明體"/>
          <w:kern w:val="0"/>
          <w:sz w:val="27"/>
          <w:szCs w:val="27"/>
        </w:rPr>
        <w:t>附件三-後備軍人轉任各機關學校工友提支餉級標準表.pdf</w:t>
      </w:r>
    </w:p>
    <w:p w:rsid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 w:val="27"/>
          <w:szCs w:val="27"/>
        </w:rPr>
      </w:pPr>
      <w:r w:rsidRPr="00C71C34">
        <w:rPr>
          <w:rFonts w:ascii="標楷體" w:eastAsia="標楷體" w:hAnsi="標楷體" w:cs="細明體" w:hint="eastAsia"/>
          <w:kern w:val="0"/>
          <w:sz w:val="27"/>
          <w:szCs w:val="27"/>
        </w:rPr>
        <w:t xml:space="preserve"> </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 w:val="27"/>
          <w:szCs w:val="27"/>
        </w:rPr>
      </w:pPr>
      <w:r w:rsidRPr="00C71C34">
        <w:rPr>
          <w:rFonts w:ascii="標楷體" w:eastAsia="標楷體" w:hAnsi="標楷體" w:cs="細明體" w:hint="eastAsia"/>
          <w:kern w:val="0"/>
          <w:sz w:val="27"/>
          <w:szCs w:val="27"/>
        </w:rPr>
        <w:t xml:space="preserve"> 陸、考核與獎懲</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十六、工友於一月至十二月在本機關服務者，機關應予以年終考核；至年</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終服務未滿一年，而已連續服務達六個月者，應予以另予考核。但</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具有下列情形之一，且年資銜接，具有證明文件者，准予併計年資</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辦理年終考核或另予考核：</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（一）經各機關相互同意移撥。</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（二）因機關裁併隨同移撥繼續僱用。</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（三）在同年度內，普通工友、技術工友相互轉化。</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工友於同年度內連續服務達六個月以上退離或亡故者，均准辦理另</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予考核。考核年資併計依前項規定辦理。</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十七、各機關應規定工友年終考核以一百分為滿分，分甲、乙、丙三等，</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lastRenderedPageBreak/>
        <w:t xml:space="preserve">      其各等分數如下：</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（一）甲等：八十分以上。</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（二）乙等：七十分以上，未滿八十分。</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（三）丙等：未滿七十分。</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十八、各機關應依下列規定辦理工友年終考核：</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（一）甲等：晉本餉一級，並給與一個月餉給總額之一次獎金；已支</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本餉最高級或年功餉級者，晉年功餉一級，並給與一個月餉給</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總額之一次獎金；已支年功餉最高級者，給與二個月餉給總額</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之一次獎金。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（二）乙等：晉本餉一級，並給與半個月餉給總額之一次獎金；已支</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本餉最高級或年功餉級者，晉年功餉一級，並給與半個月餉給</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總額之一次獎金；已支年功餉最高級者，給與一個半月餉給總</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額之一次獎金。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（三）丙等：留支原餉級。</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工友另予考核，列甲等者，給與一個月餉給總額之一次獎金；列乙</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等者，給與半個月餉給總額之一次獎金；列丙等者，不予獎勵。</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工友考核獎金請求權之時效，依民法第一百二十六條規定辦理。</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十九、各機關辦理工友年終考核或另予考核，均應以平時考核為依據。</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工友平時考核及獎懲規定，由各機關自行訂定。</w:t>
      </w:r>
    </w:p>
    <w:p w:rsid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 w:val="27"/>
          <w:szCs w:val="27"/>
        </w:rPr>
      </w:pPr>
      <w:r w:rsidRPr="00C71C34">
        <w:rPr>
          <w:rFonts w:ascii="標楷體" w:eastAsia="標楷體" w:hAnsi="標楷體" w:cs="細明體" w:hint="eastAsia"/>
          <w:kern w:val="0"/>
          <w:sz w:val="27"/>
          <w:szCs w:val="27"/>
        </w:rPr>
        <w:t xml:space="preserve">  </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柒、退休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二十、各機關工友具有下列情形之一者，得申請自願退休（格式如附件四</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（一）服務五年以上並年滿五十五歲，或服務五年以上經依各有關任</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用法規，轉任各機關（構）編制內職員，且年資銜接者。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（二）服務滿二十五年。</w:t>
      </w:r>
    </w:p>
    <w:p w:rsidR="00C71C34" w:rsidRPr="00C71C34" w:rsidRDefault="00C71C34" w:rsidP="00C71C34">
      <w:pPr>
        <w:widowControl/>
        <w:spacing w:line="450" w:lineRule="atLeast"/>
        <w:rPr>
          <w:rFonts w:ascii="標楷體" w:eastAsia="標楷體" w:hAnsi="標楷體" w:cs="新細明體" w:hint="eastAsia"/>
          <w:kern w:val="0"/>
          <w:sz w:val="27"/>
          <w:szCs w:val="27"/>
        </w:rPr>
      </w:pPr>
      <w:r w:rsidRPr="00C71C34">
        <w:rPr>
          <w:rFonts w:ascii="標楷體" w:eastAsia="標楷體" w:hAnsi="標楷體" w:cs="新細明體"/>
          <w:kern w:val="0"/>
          <w:sz w:val="27"/>
          <w:szCs w:val="27"/>
        </w:rPr>
        <w:t>附件四-工友退休申請書.pdf</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二十一、工友具有勞動基準法第五十四條所定強制退休事由者，各機關應</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予命令退休。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前項命令退休年齡之認定，依戶籍記載，其於一月至六月間出生</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者，至遲以屆齡當年七月十六日為退休生效日；其於七月至十二</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月間出生者，至遲以屆齡之次年一月十六日為退休生效日。</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lastRenderedPageBreak/>
        <w:t xml:space="preserve">        依第一項規定因身心障礙不堪勝任工作而退休者，各機關應請其</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檢附中央衛生主管機關評鑑合格地區醫院以上醫院出具之證明。</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工友應予命令退休而拒不辦理退休手續者，服務機關應逕行辦理</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，並自退休生效日起停支餉給。</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二十二、各機關應依下列規定發給工友一次退休金，最高總數以四十五個</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月平均工資為限：</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（一）適用勞動基準法前之服務年資，以工友最後在工時之本餉或</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年功餉及本人實物代金新臺幣九百三十元為基數，每服務滿</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半年給與一個基數，滿十五年後，另行一次加發一個基數。</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但最高總數以六十一個基數為限。未滿半年者，以半年計；</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滿半年以上未滿一年者，以一年計。</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（二）適用勞動基準法後之服務年資，依勞動基準法及其相關規定</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，以核准工友退休時一個月平均工資為基數，在其適用該法</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前後之全部服務年資十五年以內部分，每滿一年給與二個基</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數，畸零月數依比例計。超過十五年之部分，每滿一年給與</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一個基數，未滿半年者，以半年計；滿半年以上未滿一年者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，以一年計。</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工友具適用勞動基準法前、後之服務年資者，前項第二款之服務</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年資，以前項第一款之規定計算退休金較優時，得以該款之規定</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計算退休金。但最高總數仍以四十五個月平均工資為限。</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工友適用勞工退休金條例之退休金制度者，各機關應依勞工退休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金條例及其相關規定，向勞工保險局辦理提繳工友退休金。各機</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關每月負擔之工友退休金提繳率為工友每月工資百分之六，必要</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時由行政院統一調整。工友並得在其每月工資百分之六範圍內，</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自願另行提繳退休金。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二十三、依第二十一點第一項規定命令退休之工友，其身心障礙，係因執</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行職務所致者，各機關應依下列規定發給其退休金：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（一）適用勞動基準法前之服務年資，滿十五年者，除依前點第一</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項第一款規定發給外，另加給百分之二十；未滿十五年者，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給與三十個基數。</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（二）適用勞動基準法後之服務年資，依勞動基準法及其相關規定</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辦理。</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lastRenderedPageBreak/>
        <w:t xml:space="preserve">      （三）適用勞工退休金條例後之服務年資，依勞工退休金條例及其</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相關規定辦理。</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依本點規定加給之退休金，不計入四十五個月平均工資總額內。</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二十四、工友退休年資之計算，以在本機關編制內工友之服務年資為準。</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但具有下列未領退休（職、伍）、資遣、離（免）職退費或年資</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結算核發相當退休、資遣或離職給與之服務年資者，得於退休時</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，檢具相關證明文件，就下列各款年資選擇全數併計或部分併計</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或不予併計，一經選定即不得變更，並須檢附具結書（格式如附</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件五），於計算年資後，依第二十二點或第二十三點規定發給工</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友退休金：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（一）曾受僱為各機關（構）編制內工友、工級人員、職員或依各</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機關學校團體駐衛警察設置管理辦法進用者之服務年資。</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（二）曾任志願役、義務役軍職，或曾任替代役之年資。</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（三）於中華民國六十四年十一月三日前，已擔任本機關之臨時工</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友，並於編餘工友處理原則所定七十年六月三十日期限前，</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改僱為本機關編制內工友，且年資銜接者。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（四）於中華民國八十四年七月一日各機關學校聘僱人員離職儲金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給與辦法實施前，已擔任本機關依聘用人員聘用條例，或行</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政院暨所屬機關約僱人員僱用辦法進用，或行政院及所屬機</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關以外機關比照上開辦法規定約僱之人員，且年資銜接者。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但八十四年七月一日以後之年資不予計算。</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（五）曾任本機關應徵召服兵役員工（包含職員及工友）職務輪代</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人員，且年資銜接者。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臨時人員於本機關改僱為工友，年資銜接者，得併計成就工友退</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休年資要件，但適用勞動基準法前之臨時人員工作年資不發給工</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友退休金。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工友具勞工退休金條例之年資，且於中華民國九十四年七月一日</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以後曾服志願役、義務役軍職或替代役者；或於九十四年七月一</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日以後始初任工友者，其曾服志願役、義務役軍職或替代役者，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得併計成就工友退休年資要件。但不發給工友退休金。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工友適用勞工退休金條例後之服務年資採計，依勞工退休金條例</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及其相關規定辦理。</w:t>
      </w:r>
    </w:p>
    <w:p w:rsidR="00C71C34" w:rsidRPr="00C71C34" w:rsidRDefault="00C71C34" w:rsidP="00C71C34">
      <w:pPr>
        <w:widowControl/>
        <w:spacing w:line="450" w:lineRule="atLeast"/>
        <w:rPr>
          <w:rFonts w:ascii="標楷體" w:eastAsia="標楷體" w:hAnsi="標楷體" w:cs="新細明體"/>
          <w:kern w:val="0"/>
          <w:sz w:val="27"/>
          <w:szCs w:val="27"/>
        </w:rPr>
      </w:pPr>
      <w:r w:rsidRPr="00C71C34">
        <w:rPr>
          <w:rFonts w:ascii="標楷體" w:eastAsia="標楷體" w:hAnsi="標楷體" w:cs="新細明體"/>
          <w:kern w:val="0"/>
          <w:sz w:val="27"/>
          <w:szCs w:val="27"/>
        </w:rPr>
        <w:lastRenderedPageBreak/>
        <w:t>附件五-具結書.pdf</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二十五、工友退休後擔任職員或再受僱為工友者，其所領退休金，毋須繳</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回。再任工友時，已領退休金之年資不予併計。</w:t>
      </w:r>
    </w:p>
    <w:p w:rsid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 w:val="27"/>
          <w:szCs w:val="27"/>
        </w:rPr>
      </w:pPr>
      <w:r w:rsidRPr="00C71C34">
        <w:rPr>
          <w:rFonts w:ascii="標楷體" w:eastAsia="標楷體" w:hAnsi="標楷體" w:cs="細明體" w:hint="eastAsia"/>
          <w:kern w:val="0"/>
          <w:sz w:val="27"/>
          <w:szCs w:val="27"/>
        </w:rPr>
        <w:t xml:space="preserve">  </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 w:val="27"/>
          <w:szCs w:val="27"/>
        </w:rPr>
      </w:pPr>
      <w:r w:rsidRPr="00C71C34">
        <w:rPr>
          <w:rFonts w:ascii="標楷體" w:eastAsia="標楷體" w:hAnsi="標楷體" w:cs="細明體" w:hint="eastAsia"/>
          <w:kern w:val="0"/>
          <w:sz w:val="27"/>
          <w:szCs w:val="27"/>
        </w:rPr>
        <w:t>捌、職業災害死亡補償與撫卹</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二十六、工友因遭遇職業災害或罹患職業病而死亡者，各機關應依勞動基</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準法發給其遺屬職業災害死亡補償（格式如附件六），且其遺屬</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所領死亡補償不須抵充勞工保險職業災害死亡給付。但各機關所</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訂之工作規則或與工友所簽訂之勞動契約有特別規定或約定者，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從其規定或約定。</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工友因遭遇職業災害或罹患職業病而死亡之認定、工友遺屬領受</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死亡補償之順序、時效及其他有關事項，依勞動基準法辦理。</w:t>
      </w:r>
    </w:p>
    <w:p w:rsidR="00C71C34" w:rsidRPr="00C71C34" w:rsidRDefault="00C71C34" w:rsidP="00C71C34">
      <w:pPr>
        <w:widowControl/>
        <w:spacing w:line="450" w:lineRule="atLeast"/>
        <w:rPr>
          <w:rFonts w:ascii="標楷體" w:eastAsia="標楷體" w:hAnsi="標楷體" w:cs="新細明體" w:hint="eastAsia"/>
          <w:kern w:val="0"/>
          <w:sz w:val="27"/>
          <w:szCs w:val="27"/>
        </w:rPr>
      </w:pPr>
      <w:r w:rsidRPr="00C71C34">
        <w:rPr>
          <w:rFonts w:ascii="標楷體" w:eastAsia="標楷體" w:hAnsi="標楷體" w:cs="新細明體"/>
          <w:kern w:val="0"/>
          <w:sz w:val="27"/>
          <w:szCs w:val="27"/>
        </w:rPr>
        <w:t>附件六-工友職業災害死亡補償、撫卹申請書.pdf</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二十七、工友因病故或意外死亡者，應發給遺屬撫卹金，其撫卹年資之計</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算，依第二十四點規定辦理。撫卹金給與標準，適用勞工退休金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條例前之服務年資，各機關應比照勞動基準法第五十五條所定退</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休金標準發給其遺屬一次撫卹金（格式如附件六）。但其服務未</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滿三年者，以三年論。適用勞工退休金條例後之服務年資，各機</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關比照勞動基準法第五十五條規定發給撫卹金，並得扣除已依勞</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工退休金條例第十四條第一項規定提繳之退休金數額。</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工友因病故或意外死亡者，遺屬領受撫卹金之順序，比照勞動基</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準法第五十九條第四款規定辦理。遺屬領受撫卹金之時效，依民</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法第一百二十五條規定辦理。</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工友留職停薪期間因病故或意外死亡者，得依第一項規定發給其</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遺屬一次撫卹金，其撫卹年資並計至留職停薪之前一日。</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二十八、工友死亡，除發給遺屬撫卹金外，並發給殮葬補助費。因遭遇職</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業災害或罹患職業病而死亡者，除依勞動基準法發給喪葬費外，</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並得依本點規定發給殮葬補助費。</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前項殮葬補助費之標準，比照公務人員委任第五職等本俸五級之</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本俸俸額計算，補助七個月。</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各機關發給殮葬補助費，應由實際支付殮葬費用之遺屬領受。由</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遺屬共同支付者，依各遺屬實際支付比例領受。工友在臺灣地區</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lastRenderedPageBreak/>
        <w:t xml:space="preserve">        無遺屬，其居住大陸地區遺屬未隨侍辦理喪葬，或工友在臺灣地</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區無遺屬且大陸地區有無遺屬不明者，得由本機關具領殮葬補助</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費，指定人員代為殮葬，如有賸餘，歸屬國庫。</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工友遺屬領受殮葬補助費之時效，依民法第一百二十五條規定辦</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理。</w:t>
      </w:r>
    </w:p>
    <w:p w:rsid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 w:val="27"/>
          <w:szCs w:val="27"/>
        </w:rPr>
      </w:pPr>
      <w:r w:rsidRPr="00C71C34">
        <w:rPr>
          <w:rFonts w:ascii="標楷體" w:eastAsia="標楷體" w:hAnsi="標楷體" w:cs="細明體" w:hint="eastAsia"/>
          <w:kern w:val="0"/>
          <w:sz w:val="27"/>
          <w:szCs w:val="27"/>
        </w:rPr>
        <w:t xml:space="preserve"> </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 w:val="27"/>
          <w:szCs w:val="27"/>
        </w:rPr>
      </w:pPr>
      <w:r w:rsidRPr="00C71C34">
        <w:rPr>
          <w:rFonts w:ascii="標楷體" w:eastAsia="標楷體" w:hAnsi="標楷體" w:cs="細明體" w:hint="eastAsia"/>
          <w:kern w:val="0"/>
          <w:sz w:val="27"/>
          <w:szCs w:val="27"/>
        </w:rPr>
        <w:t xml:space="preserve"> 玖、其他</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二十九、各機關得視業務需要，於工作規則或其他自行訂定之內部規則中</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，規定工友服務、訓練、平時考核及獎懲標準等相關事項。</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三十、為激勵工友工作士氣及提升工作效能，各機關得辦理績優工友之選</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拔，頒給獲選績優工友每人新臺幣二萬元以下之獎金，並給予五日</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以下之公假，公假應於當年請畢且不得折算工資。</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績優工友之選拔條件、名額、方式及其他事項，由各機關自行訂定</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三十一、工友勞動條件適用法規及主管權責，依各級機關及公立學校工友</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勞動條件適用法規及主管權責劃分表規定辦理（如附件七）。</w:t>
      </w:r>
    </w:p>
    <w:p w:rsidR="00C71C34" w:rsidRPr="00C71C34" w:rsidRDefault="00C71C34" w:rsidP="00C71C34">
      <w:pPr>
        <w:widowControl/>
        <w:spacing w:line="450" w:lineRule="atLeast"/>
        <w:rPr>
          <w:rFonts w:ascii="標楷體" w:eastAsia="標楷體" w:hAnsi="標楷體" w:cs="新細明體" w:hint="eastAsia"/>
          <w:kern w:val="0"/>
          <w:sz w:val="27"/>
          <w:szCs w:val="27"/>
        </w:rPr>
      </w:pPr>
      <w:r w:rsidRPr="00C71C34">
        <w:rPr>
          <w:rFonts w:ascii="標楷體" w:eastAsia="標楷體" w:hAnsi="標楷體" w:cs="新細明體"/>
          <w:kern w:val="0"/>
          <w:sz w:val="27"/>
          <w:szCs w:val="27"/>
        </w:rPr>
        <w:t>附件七-各級機關及公立學校工友勞動條件適用法規及主管權責劃分表.pdf</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三十二、工友之申訴或爭議處理，依勞動基準法、勞資爭議處理法或各機</w:t>
      </w:r>
    </w:p>
    <w:p w:rsidR="00C71C34" w:rsidRPr="00C71C34" w:rsidRDefault="00C71C34" w:rsidP="00C71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hint="eastAsia"/>
          <w:kern w:val="0"/>
          <w:sz w:val="27"/>
          <w:szCs w:val="27"/>
        </w:rPr>
      </w:pPr>
      <w:r w:rsidRPr="00C71C34">
        <w:rPr>
          <w:rFonts w:ascii="標楷體" w:eastAsia="標楷體" w:hAnsi="標楷體" w:cs="細明體" w:hint="eastAsia"/>
          <w:kern w:val="0"/>
          <w:sz w:val="27"/>
          <w:szCs w:val="27"/>
        </w:rPr>
        <w:t xml:space="preserve">        關自行訂定之爭議處理程序辦理。</w:t>
      </w:r>
    </w:p>
    <w:p w:rsidR="004F69E6" w:rsidRPr="00C71C34" w:rsidRDefault="004F69E6">
      <w:pPr>
        <w:rPr>
          <w:rFonts w:ascii="標楷體" w:eastAsia="標楷體" w:hAnsi="標楷體"/>
        </w:rPr>
      </w:pPr>
    </w:p>
    <w:sectPr w:rsidR="004F69E6" w:rsidRPr="00C71C34" w:rsidSect="00C71C34">
      <w:pgSz w:w="11906" w:h="16838"/>
      <w:pgMar w:top="1440" w:right="991" w:bottom="1843"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34"/>
    <w:rsid w:val="004F69E6"/>
    <w:rsid w:val="00C71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002C7-D2DA-4891-A2B8-6E9C6B4A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647635">
      <w:bodyDiv w:val="1"/>
      <w:marLeft w:val="0"/>
      <w:marRight w:val="0"/>
      <w:marTop w:val="0"/>
      <w:marBottom w:val="0"/>
      <w:divBdr>
        <w:top w:val="none" w:sz="0" w:space="0" w:color="auto"/>
        <w:left w:val="none" w:sz="0" w:space="0" w:color="auto"/>
        <w:bottom w:val="none" w:sz="0" w:space="0" w:color="auto"/>
        <w:right w:val="none" w:sz="0" w:space="0" w:color="auto"/>
      </w:divBdr>
      <w:divsChild>
        <w:div w:id="163596860">
          <w:marLeft w:val="0"/>
          <w:marRight w:val="0"/>
          <w:marTop w:val="0"/>
          <w:marBottom w:val="0"/>
          <w:divBdr>
            <w:top w:val="none" w:sz="0" w:space="0" w:color="auto"/>
            <w:left w:val="none" w:sz="0" w:space="0" w:color="auto"/>
            <w:bottom w:val="none" w:sz="0" w:space="0" w:color="auto"/>
            <w:right w:val="none" w:sz="0" w:space="0" w:color="auto"/>
          </w:divBdr>
        </w:div>
        <w:div w:id="2093551518">
          <w:marLeft w:val="0"/>
          <w:marRight w:val="0"/>
          <w:marTop w:val="0"/>
          <w:marBottom w:val="0"/>
          <w:divBdr>
            <w:top w:val="none" w:sz="0" w:space="0" w:color="auto"/>
            <w:left w:val="none" w:sz="0" w:space="0" w:color="auto"/>
            <w:bottom w:val="none" w:sz="0" w:space="0" w:color="auto"/>
            <w:right w:val="none" w:sz="0" w:space="0" w:color="auto"/>
          </w:divBdr>
        </w:div>
        <w:div w:id="230891741">
          <w:marLeft w:val="0"/>
          <w:marRight w:val="0"/>
          <w:marTop w:val="0"/>
          <w:marBottom w:val="0"/>
          <w:divBdr>
            <w:top w:val="none" w:sz="0" w:space="0" w:color="auto"/>
            <w:left w:val="none" w:sz="0" w:space="0" w:color="auto"/>
            <w:bottom w:val="none" w:sz="0" w:space="0" w:color="auto"/>
            <w:right w:val="none" w:sz="0" w:space="0" w:color="auto"/>
          </w:divBdr>
          <w:divsChild>
            <w:div w:id="730465909">
              <w:marLeft w:val="0"/>
              <w:marRight w:val="0"/>
              <w:marTop w:val="0"/>
              <w:marBottom w:val="0"/>
              <w:divBdr>
                <w:top w:val="none" w:sz="0" w:space="0" w:color="auto"/>
                <w:left w:val="none" w:sz="0" w:space="0" w:color="auto"/>
                <w:bottom w:val="none" w:sz="0" w:space="0" w:color="auto"/>
                <w:right w:val="none" w:sz="0" w:space="0" w:color="auto"/>
              </w:divBdr>
            </w:div>
            <w:div w:id="872576538">
              <w:marLeft w:val="0"/>
              <w:marRight w:val="0"/>
              <w:marTop w:val="0"/>
              <w:marBottom w:val="0"/>
              <w:divBdr>
                <w:top w:val="none" w:sz="0" w:space="0" w:color="auto"/>
                <w:left w:val="none" w:sz="0" w:space="0" w:color="auto"/>
                <w:bottom w:val="none" w:sz="0" w:space="0" w:color="auto"/>
                <w:right w:val="none" w:sz="0" w:space="0" w:color="auto"/>
              </w:divBdr>
            </w:div>
            <w:div w:id="8872321">
              <w:marLeft w:val="0"/>
              <w:marRight w:val="0"/>
              <w:marTop w:val="0"/>
              <w:marBottom w:val="0"/>
              <w:divBdr>
                <w:top w:val="none" w:sz="0" w:space="0" w:color="auto"/>
                <w:left w:val="none" w:sz="0" w:space="0" w:color="auto"/>
                <w:bottom w:val="none" w:sz="0" w:space="0" w:color="auto"/>
                <w:right w:val="none" w:sz="0" w:space="0" w:color="auto"/>
              </w:divBdr>
            </w:div>
            <w:div w:id="1222399671">
              <w:marLeft w:val="0"/>
              <w:marRight w:val="0"/>
              <w:marTop w:val="0"/>
              <w:marBottom w:val="0"/>
              <w:divBdr>
                <w:top w:val="none" w:sz="0" w:space="0" w:color="auto"/>
                <w:left w:val="none" w:sz="0" w:space="0" w:color="auto"/>
                <w:bottom w:val="none" w:sz="0" w:space="0" w:color="auto"/>
                <w:right w:val="none" w:sz="0" w:space="0" w:color="auto"/>
              </w:divBdr>
            </w:div>
            <w:div w:id="1336416352">
              <w:marLeft w:val="0"/>
              <w:marRight w:val="0"/>
              <w:marTop w:val="0"/>
              <w:marBottom w:val="0"/>
              <w:divBdr>
                <w:top w:val="none" w:sz="0" w:space="0" w:color="auto"/>
                <w:left w:val="none" w:sz="0" w:space="0" w:color="auto"/>
                <w:bottom w:val="none" w:sz="0" w:space="0" w:color="auto"/>
                <w:right w:val="none" w:sz="0" w:space="0" w:color="auto"/>
              </w:divBdr>
            </w:div>
            <w:div w:id="431752031">
              <w:marLeft w:val="0"/>
              <w:marRight w:val="0"/>
              <w:marTop w:val="0"/>
              <w:marBottom w:val="0"/>
              <w:divBdr>
                <w:top w:val="none" w:sz="0" w:space="0" w:color="auto"/>
                <w:left w:val="none" w:sz="0" w:space="0" w:color="auto"/>
                <w:bottom w:val="none" w:sz="0" w:space="0" w:color="auto"/>
                <w:right w:val="none" w:sz="0" w:space="0" w:color="auto"/>
              </w:divBdr>
            </w:div>
            <w:div w:id="17682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1318</Words>
  <Characters>7518</Characters>
  <Application>Microsoft Office Word</Application>
  <DocSecurity>0</DocSecurity>
  <Lines>62</Lines>
  <Paragraphs>17</Paragraphs>
  <ScaleCrop>false</ScaleCrop>
  <Company>CYHG</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李雅琪</dc:creator>
  <cp:keywords/>
  <dc:description/>
  <cp:lastModifiedBy>李雅琪</cp:lastModifiedBy>
  <cp:revision>1</cp:revision>
  <dcterms:created xsi:type="dcterms:W3CDTF">2019-06-20T06:46:00Z</dcterms:created>
  <dcterms:modified xsi:type="dcterms:W3CDTF">2019-06-20T06:49:00Z</dcterms:modified>
</cp:coreProperties>
</file>