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70" w:rsidRDefault="00455C99">
      <w:pPr>
        <w:pStyle w:val="Standard"/>
        <w:snapToGrid w:val="0"/>
        <w:jc w:val="center"/>
        <w:rPr>
          <w:rFonts w:ascii="微軟正黑體" w:eastAsia="微軟正黑體" w:hAnsi="微軟正黑體"/>
          <w:b/>
          <w:spacing w:val="-8"/>
          <w:sz w:val="32"/>
          <w:szCs w:val="32"/>
        </w:rPr>
      </w:pPr>
      <w:r>
        <w:rPr>
          <w:rFonts w:ascii="微軟正黑體" w:eastAsia="微軟正黑體" w:hAnsi="微軟正黑體"/>
          <w:b/>
          <w:spacing w:val="-8"/>
          <w:sz w:val="32"/>
          <w:szCs w:val="32"/>
        </w:rPr>
        <w:t>108</w:t>
      </w:r>
      <w:r>
        <w:rPr>
          <w:rFonts w:ascii="微軟正黑體" w:eastAsia="微軟正黑體" w:hAnsi="微軟正黑體"/>
          <w:b/>
          <w:spacing w:val="-8"/>
          <w:sz w:val="32"/>
          <w:szCs w:val="32"/>
        </w:rPr>
        <w:t>年度「遇</w:t>
      </w:r>
      <w:r>
        <w:rPr>
          <w:rFonts w:ascii="微軟正黑體" w:eastAsia="微軟正黑體" w:hAnsi="微軟正黑體"/>
          <w:b/>
          <w:spacing w:val="-8"/>
          <w:sz w:val="32"/>
          <w:szCs w:val="32"/>
        </w:rPr>
        <w:t>(</w:t>
      </w:r>
      <w:r>
        <w:rPr>
          <w:rFonts w:ascii="微軟正黑體" w:eastAsia="微軟正黑體" w:hAnsi="微軟正黑體"/>
          <w:b/>
          <w:spacing w:val="-8"/>
          <w:sz w:val="32"/>
          <w:szCs w:val="32"/>
        </w:rPr>
        <w:t>預</w:t>
      </w:r>
      <w:r>
        <w:rPr>
          <w:rFonts w:ascii="微軟正黑體" w:eastAsia="微軟正黑體" w:hAnsi="微軟正黑體"/>
          <w:b/>
          <w:spacing w:val="-8"/>
          <w:sz w:val="32"/>
          <w:szCs w:val="32"/>
        </w:rPr>
        <w:t>)</w:t>
      </w:r>
      <w:r>
        <w:rPr>
          <w:rFonts w:ascii="微軟正黑體" w:eastAsia="微軟正黑體" w:hAnsi="微軟正黑體"/>
          <w:b/>
          <w:spacing w:val="-8"/>
          <w:sz w:val="32"/>
          <w:szCs w:val="32"/>
        </w:rPr>
        <w:t>見數位轉型，迎向台灣智慧島嶼新世代」系列研習活動班別資料</w:t>
      </w:r>
    </w:p>
    <w:p w:rsidR="005E7470" w:rsidRDefault="005E7470">
      <w:pPr>
        <w:pStyle w:val="Standard"/>
        <w:snapToGrid w:val="0"/>
        <w:rPr>
          <w:rFonts w:ascii="微軟正黑體" w:eastAsia="微軟正黑體" w:hAnsi="微軟正黑體"/>
          <w:b/>
          <w:spacing w:val="-8"/>
          <w:sz w:val="32"/>
          <w:szCs w:val="32"/>
        </w:rPr>
      </w:pPr>
    </w:p>
    <w:p w:rsidR="005E7470" w:rsidRDefault="00455C99">
      <w:pPr>
        <w:pStyle w:val="Standard"/>
        <w:snapToGrid w:val="0"/>
        <w:ind w:left="1319" w:hanging="1319"/>
      </w:pPr>
      <w:r>
        <w:rPr>
          <w:rFonts w:ascii="微軟正黑體" w:eastAsia="微軟正黑體" w:hAnsi="微軟正黑體"/>
          <w:b/>
          <w:spacing w:val="-8"/>
          <w:sz w:val="32"/>
          <w:szCs w:val="32"/>
        </w:rPr>
        <w:t xml:space="preserve">    </w:t>
      </w: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一、因應「智慧島嶼、創新經濟」國家發展藍圖，行政院科技發展政策推動「五加二」產業創新計畫暨「數位國家</w:t>
      </w:r>
      <w:r>
        <w:rPr>
          <w:rFonts w:ascii="微軟正黑體" w:eastAsia="微軟正黑體" w:hAnsi="微軟正黑體"/>
          <w:spacing w:val="-8"/>
          <w:sz w:val="32"/>
          <w:szCs w:val="32"/>
        </w:rPr>
        <w:t>‧</w:t>
      </w:r>
      <w:r>
        <w:rPr>
          <w:rFonts w:ascii="微軟正黑體" w:eastAsia="微軟正黑體" w:hAnsi="微軟正黑體"/>
          <w:spacing w:val="-8"/>
          <w:sz w:val="32"/>
          <w:szCs w:val="32"/>
        </w:rPr>
        <w:t>創新經濟發展方案」，以實踐數位國家、智慧島嶼、產業高值化、及節能減碳之國家發展願景。</w:t>
      </w:r>
    </w:p>
    <w:p w:rsidR="005E7470" w:rsidRDefault="00455C99">
      <w:pPr>
        <w:pStyle w:val="Standard"/>
        <w:snapToGrid w:val="0"/>
        <w:rPr>
          <w:rFonts w:ascii="微軟正黑體" w:eastAsia="微軟正黑體" w:hAnsi="微軟正黑體"/>
          <w:spacing w:val="-8"/>
          <w:sz w:val="32"/>
          <w:szCs w:val="32"/>
        </w:rPr>
      </w:pP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二、</w:t>
      </w:r>
      <w:r>
        <w:rPr>
          <w:rFonts w:ascii="微軟正黑體" w:eastAsia="微軟正黑體" w:hAnsi="微軟正黑體"/>
          <w:spacing w:val="-8"/>
          <w:sz w:val="32"/>
          <w:szCs w:val="32"/>
        </w:rPr>
        <w:t>108</w:t>
      </w:r>
      <w:r>
        <w:rPr>
          <w:rFonts w:ascii="微軟正黑體" w:eastAsia="微軟正黑體" w:hAnsi="微軟正黑體"/>
          <w:spacing w:val="-8"/>
          <w:sz w:val="32"/>
          <w:szCs w:val="32"/>
        </w:rPr>
        <w:t>年度辦理「文官科技素養增能活動」，提升文官科技素養與創新應用施政能力。</w:t>
      </w:r>
    </w:p>
    <w:p w:rsidR="005E7470" w:rsidRDefault="00455C99">
      <w:pPr>
        <w:pStyle w:val="Standard"/>
        <w:snapToGrid w:val="0"/>
        <w:ind w:left="720"/>
        <w:rPr>
          <w:rFonts w:ascii="微軟正黑體" w:eastAsia="微軟正黑體" w:hAnsi="微軟正黑體"/>
          <w:spacing w:val="-8"/>
          <w:sz w:val="32"/>
          <w:szCs w:val="32"/>
        </w:rPr>
      </w:pPr>
      <w:r>
        <w:rPr>
          <w:rFonts w:ascii="微軟正黑體" w:eastAsia="微軟正黑體" w:hAnsi="微軟正黑體"/>
          <w:spacing w:val="-8"/>
          <w:sz w:val="32"/>
          <w:szCs w:val="32"/>
        </w:rPr>
        <w:t>三、預期效益：</w:t>
      </w:r>
      <w:bookmarkStart w:id="0" w:name="_GoBack"/>
      <w:bookmarkEnd w:id="0"/>
    </w:p>
    <w:p w:rsidR="005E7470" w:rsidRDefault="00455C99">
      <w:pPr>
        <w:pStyle w:val="Standard"/>
        <w:snapToGrid w:val="0"/>
        <w:rPr>
          <w:rFonts w:ascii="微軟正黑體" w:eastAsia="微軟正黑體" w:hAnsi="微軟正黑體"/>
          <w:spacing w:val="-8"/>
          <w:sz w:val="32"/>
          <w:szCs w:val="32"/>
        </w:rPr>
      </w:pP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一</w:t>
      </w: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扎根文官科技素養認知以驅動政府智慧治理的創新。</w:t>
      </w:r>
    </w:p>
    <w:p w:rsidR="005E7470" w:rsidRDefault="00455C99">
      <w:pPr>
        <w:pStyle w:val="Standard"/>
        <w:snapToGrid w:val="0"/>
        <w:rPr>
          <w:rFonts w:ascii="微軟正黑體" w:eastAsia="微軟正黑體" w:hAnsi="微軟正黑體"/>
          <w:spacing w:val="-8"/>
          <w:sz w:val="32"/>
          <w:szCs w:val="32"/>
        </w:rPr>
      </w:pP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二</w:t>
      </w: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促進文官跨機構單位與智慧解決方案夥伴的鏈結。</w:t>
      </w:r>
    </w:p>
    <w:p w:rsidR="005E7470" w:rsidRDefault="00455C99">
      <w:pPr>
        <w:pStyle w:val="Standard"/>
        <w:snapToGrid w:val="0"/>
        <w:ind w:left="1319" w:hanging="1319"/>
        <w:rPr>
          <w:rFonts w:ascii="微軟正黑體" w:eastAsia="微軟正黑體" w:hAnsi="微軟正黑體"/>
          <w:spacing w:val="-8"/>
          <w:sz w:val="32"/>
          <w:szCs w:val="32"/>
        </w:rPr>
      </w:pP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三</w:t>
      </w: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系統化建置文官科技素養學習資源。</w:t>
      </w:r>
      <w:r>
        <w:rPr>
          <w:rFonts w:ascii="微軟正黑體" w:eastAsia="微軟正黑體" w:hAnsi="微軟正黑體"/>
          <w:spacing w:val="-8"/>
          <w:sz w:val="32"/>
          <w:szCs w:val="32"/>
        </w:rPr>
        <w:t xml:space="preserve">     </w:t>
      </w:r>
    </w:p>
    <w:p w:rsidR="005E7470" w:rsidRDefault="00455C99">
      <w:pPr>
        <w:pStyle w:val="Standard"/>
        <w:snapToGrid w:val="0"/>
        <w:ind w:left="1319" w:hanging="1319"/>
        <w:rPr>
          <w:rFonts w:ascii="微軟正黑體" w:eastAsia="微軟正黑體" w:hAnsi="微軟正黑體"/>
          <w:spacing w:val="-8"/>
          <w:sz w:val="32"/>
          <w:szCs w:val="32"/>
        </w:rPr>
      </w:pPr>
      <w:r>
        <w:rPr>
          <w:rFonts w:ascii="微軟正黑體" w:eastAsia="微軟正黑體" w:hAnsi="微軟正黑體"/>
          <w:spacing w:val="-8"/>
          <w:sz w:val="32"/>
          <w:szCs w:val="32"/>
        </w:rPr>
        <w:t xml:space="preserve">     </w:t>
      </w:r>
      <w:r>
        <w:rPr>
          <w:rFonts w:ascii="微軟正黑體" w:eastAsia="微軟正黑體" w:hAnsi="微軟正黑體"/>
          <w:spacing w:val="-8"/>
          <w:sz w:val="32"/>
          <w:szCs w:val="32"/>
        </w:rPr>
        <w:t>四、實體研習活動如下：</w:t>
      </w:r>
    </w:p>
    <w:tbl>
      <w:tblPr>
        <w:tblW w:w="20441" w:type="dxa"/>
        <w:jc w:val="center"/>
        <w:tblLayout w:type="fixed"/>
        <w:tblCellMar>
          <w:left w:w="10" w:type="dxa"/>
          <w:right w:w="10" w:type="dxa"/>
        </w:tblCellMar>
        <w:tblLook w:val="0000" w:firstRow="0" w:lastRow="0" w:firstColumn="0" w:lastColumn="0" w:noHBand="0" w:noVBand="0"/>
      </w:tblPr>
      <w:tblGrid>
        <w:gridCol w:w="2230"/>
        <w:gridCol w:w="2976"/>
        <w:gridCol w:w="2835"/>
        <w:gridCol w:w="3827"/>
        <w:gridCol w:w="1418"/>
        <w:gridCol w:w="2335"/>
        <w:gridCol w:w="2410"/>
        <w:gridCol w:w="2410"/>
      </w:tblGrid>
      <w:tr w:rsidR="005E7470">
        <w:tblPrEx>
          <w:tblCellMar>
            <w:top w:w="0" w:type="dxa"/>
            <w:bottom w:w="0" w:type="dxa"/>
          </w:tblCellMar>
        </w:tblPrEx>
        <w:trPr>
          <w:trHeight w:val="820"/>
          <w:tblHeader/>
          <w:jc w:val="center"/>
        </w:trPr>
        <w:tc>
          <w:tcPr>
            <w:tcW w:w="2230" w:type="dxa"/>
            <w:tcBorders>
              <w:top w:val="single" w:sz="18" w:space="0" w:color="00000A"/>
              <w:left w:val="single" w:sz="18"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after="180" w:line="240" w:lineRule="exact"/>
              <w:jc w:val="center"/>
              <w:rPr>
                <w:rFonts w:ascii="微軟正黑體" w:eastAsia="微軟正黑體" w:hAnsi="微軟正黑體"/>
                <w:b/>
                <w:szCs w:val="22"/>
              </w:rPr>
            </w:pPr>
            <w:r>
              <w:rPr>
                <w:rFonts w:ascii="微軟正黑體" w:eastAsia="微軟正黑體" w:hAnsi="微軟正黑體"/>
                <w:b/>
                <w:szCs w:val="22"/>
              </w:rPr>
              <w:t>班別訓期</w:t>
            </w:r>
          </w:p>
        </w:tc>
        <w:tc>
          <w:tcPr>
            <w:tcW w:w="2976" w:type="dxa"/>
            <w:tcBorders>
              <w:top w:val="single" w:sz="18" w:space="0" w:color="00000A"/>
              <w:left w:val="single" w:sz="6"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szCs w:val="22"/>
              </w:rPr>
            </w:pPr>
            <w:r>
              <w:rPr>
                <w:rFonts w:ascii="微軟正黑體" w:eastAsia="微軟正黑體" w:hAnsi="微軟正黑體"/>
                <w:b/>
                <w:szCs w:val="22"/>
              </w:rPr>
              <w:t>研習目標</w:t>
            </w:r>
          </w:p>
        </w:tc>
        <w:tc>
          <w:tcPr>
            <w:tcW w:w="2835" w:type="dxa"/>
            <w:tcBorders>
              <w:top w:val="single" w:sz="18" w:space="0" w:color="00000A"/>
              <w:left w:val="single" w:sz="6"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rFonts w:ascii="微軟正黑體" w:eastAsia="微軟正黑體" w:hAnsi="微軟正黑體"/>
                <w:b/>
                <w:szCs w:val="22"/>
              </w:rPr>
            </w:pPr>
            <w:r>
              <w:rPr>
                <w:rFonts w:ascii="微軟正黑體" w:eastAsia="微軟正黑體" w:hAnsi="微軟正黑體"/>
                <w:b/>
                <w:szCs w:val="22"/>
              </w:rPr>
              <w:t>參訓對象</w:t>
            </w:r>
          </w:p>
        </w:tc>
        <w:tc>
          <w:tcPr>
            <w:tcW w:w="3827" w:type="dxa"/>
            <w:tcBorders>
              <w:top w:val="single" w:sz="18" w:space="0" w:color="00000A"/>
              <w:left w:val="single" w:sz="6"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rFonts w:ascii="微軟正黑體" w:eastAsia="微軟正黑體" w:hAnsi="微軟正黑體"/>
                <w:b/>
                <w:szCs w:val="22"/>
              </w:rPr>
            </w:pPr>
            <w:r>
              <w:rPr>
                <w:rFonts w:ascii="微軟正黑體" w:eastAsia="微軟正黑體" w:hAnsi="微軟正黑體"/>
                <w:b/>
                <w:szCs w:val="22"/>
              </w:rPr>
              <w:t>研習規劃</w:t>
            </w:r>
          </w:p>
        </w:tc>
        <w:tc>
          <w:tcPr>
            <w:tcW w:w="1418" w:type="dxa"/>
            <w:tcBorders>
              <w:top w:val="single" w:sz="18" w:space="0" w:color="00000A"/>
              <w:left w:val="single" w:sz="6"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rFonts w:ascii="微軟正黑體" w:eastAsia="微軟正黑體" w:hAnsi="微軟正黑體"/>
                <w:b/>
                <w:szCs w:val="22"/>
              </w:rPr>
            </w:pPr>
            <w:r>
              <w:rPr>
                <w:rFonts w:ascii="微軟正黑體" w:eastAsia="微軟正黑體" w:hAnsi="微軟正黑體"/>
                <w:b/>
                <w:szCs w:val="22"/>
              </w:rPr>
              <w:t>訓期</w:t>
            </w:r>
          </w:p>
        </w:tc>
        <w:tc>
          <w:tcPr>
            <w:tcW w:w="2335" w:type="dxa"/>
            <w:tcBorders>
              <w:top w:val="single" w:sz="18" w:space="0" w:color="00000A"/>
              <w:left w:val="single" w:sz="6"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rFonts w:ascii="微軟正黑體" w:eastAsia="微軟正黑體" w:hAnsi="微軟正黑體"/>
                <w:b/>
                <w:szCs w:val="22"/>
              </w:rPr>
            </w:pPr>
            <w:r>
              <w:rPr>
                <w:rFonts w:ascii="微軟正黑體" w:eastAsia="微軟正黑體" w:hAnsi="微軟正黑體"/>
                <w:b/>
                <w:szCs w:val="22"/>
              </w:rPr>
              <w:t>研習人數</w:t>
            </w:r>
            <w:r>
              <w:rPr>
                <w:rFonts w:ascii="微軟正黑體" w:eastAsia="微軟正黑體" w:hAnsi="微軟正黑體"/>
                <w:b/>
                <w:szCs w:val="22"/>
              </w:rPr>
              <w:t>(</w:t>
            </w:r>
            <w:r>
              <w:rPr>
                <w:rFonts w:ascii="微軟正黑體" w:eastAsia="微軟正黑體" w:hAnsi="微軟正黑體"/>
                <w:b/>
                <w:szCs w:val="22"/>
              </w:rPr>
              <w:t>每期</w:t>
            </w:r>
            <w:r>
              <w:rPr>
                <w:rFonts w:ascii="微軟正黑體" w:eastAsia="微軟正黑體" w:hAnsi="微軟正黑體"/>
                <w:b/>
                <w:szCs w:val="22"/>
              </w:rPr>
              <w:t>)</w:t>
            </w:r>
          </w:p>
        </w:tc>
        <w:tc>
          <w:tcPr>
            <w:tcW w:w="2410" w:type="dxa"/>
            <w:tcBorders>
              <w:top w:val="single" w:sz="18" w:space="0" w:color="00000A"/>
              <w:left w:val="single" w:sz="6"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rFonts w:ascii="微軟正黑體" w:eastAsia="微軟正黑體" w:hAnsi="微軟正黑體"/>
                <w:b/>
                <w:szCs w:val="22"/>
              </w:rPr>
            </w:pPr>
            <w:r>
              <w:rPr>
                <w:rFonts w:ascii="微軟正黑體" w:eastAsia="微軟正黑體" w:hAnsi="微軟正黑體"/>
                <w:b/>
                <w:szCs w:val="22"/>
              </w:rPr>
              <w:t>訓練地點</w:t>
            </w:r>
          </w:p>
        </w:tc>
        <w:tc>
          <w:tcPr>
            <w:tcW w:w="2410" w:type="dxa"/>
            <w:tcBorders>
              <w:top w:val="single" w:sz="18" w:space="0" w:color="00000A"/>
              <w:left w:val="single" w:sz="6" w:space="0" w:color="00000A"/>
              <w:bottom w:val="single" w:sz="6" w:space="0" w:color="00000A"/>
              <w:right w:val="single" w:sz="18" w:space="0" w:color="00000A"/>
            </w:tcBorders>
            <w:shd w:val="clear" w:color="auto" w:fill="DDD9C3"/>
            <w:tcMar>
              <w:top w:w="0" w:type="dxa"/>
              <w:left w:w="130" w:type="dxa"/>
              <w:bottom w:w="0" w:type="dxa"/>
              <w:right w:w="108" w:type="dxa"/>
            </w:tcMar>
            <w:vAlign w:val="center"/>
          </w:tcPr>
          <w:p w:rsidR="005E7470" w:rsidRDefault="00455C99">
            <w:pPr>
              <w:pStyle w:val="Standard"/>
              <w:spacing w:line="260" w:lineRule="exact"/>
              <w:jc w:val="center"/>
              <w:rPr>
                <w:rFonts w:ascii="微軟正黑體" w:eastAsia="微軟正黑體" w:hAnsi="微軟正黑體"/>
                <w:b/>
                <w:szCs w:val="22"/>
              </w:rPr>
            </w:pPr>
            <w:r>
              <w:rPr>
                <w:rFonts w:ascii="微軟正黑體" w:eastAsia="微軟正黑體" w:hAnsi="微軟正黑體"/>
                <w:b/>
                <w:szCs w:val="22"/>
              </w:rPr>
              <w:t>備註</w:t>
            </w:r>
          </w:p>
        </w:tc>
      </w:tr>
      <w:tr w:rsidR="005E7470">
        <w:tblPrEx>
          <w:tblCellMar>
            <w:top w:w="0" w:type="dxa"/>
            <w:bottom w:w="0" w:type="dxa"/>
          </w:tblCellMar>
        </w:tblPrEx>
        <w:trPr>
          <w:trHeight w:val="1385"/>
          <w:jc w:val="center"/>
        </w:trPr>
        <w:tc>
          <w:tcPr>
            <w:tcW w:w="2230" w:type="dxa"/>
            <w:tcBorders>
              <w:top w:val="single" w:sz="6" w:space="0" w:color="00000A"/>
              <w:left w:val="single" w:sz="18"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after="180" w:line="400" w:lineRule="exact"/>
              <w:rPr>
                <w:rFonts w:ascii="微軟正黑體" w:eastAsia="微軟正黑體" w:hAnsi="微軟正黑體"/>
                <w:b/>
                <w:spacing w:val="-8"/>
                <w:szCs w:val="22"/>
              </w:rPr>
            </w:pPr>
            <w:r>
              <w:rPr>
                <w:rFonts w:ascii="微軟正黑體" w:eastAsia="微軟正黑體" w:hAnsi="微軟正黑體"/>
                <w:b/>
                <w:spacing w:val="-8"/>
                <w:szCs w:val="22"/>
              </w:rPr>
              <w:t>「遇</w:t>
            </w:r>
            <w:r>
              <w:rPr>
                <w:rFonts w:ascii="微軟正黑體" w:eastAsia="微軟正黑體" w:hAnsi="微軟正黑體"/>
                <w:b/>
                <w:spacing w:val="-8"/>
                <w:szCs w:val="22"/>
              </w:rPr>
              <w:t>(</w:t>
            </w:r>
            <w:r>
              <w:rPr>
                <w:rFonts w:ascii="微軟正黑體" w:eastAsia="微軟正黑體" w:hAnsi="微軟正黑體"/>
                <w:b/>
                <w:spacing w:val="-8"/>
                <w:szCs w:val="22"/>
              </w:rPr>
              <w:t>預</w:t>
            </w:r>
            <w:r>
              <w:rPr>
                <w:rFonts w:ascii="微軟正黑體" w:eastAsia="微軟正黑體" w:hAnsi="微軟正黑體"/>
                <w:b/>
                <w:spacing w:val="-8"/>
                <w:szCs w:val="22"/>
              </w:rPr>
              <w:t>)</w:t>
            </w:r>
            <w:r>
              <w:rPr>
                <w:rFonts w:ascii="微軟正黑體" w:eastAsia="微軟正黑體" w:hAnsi="微軟正黑體"/>
                <w:b/>
                <w:spacing w:val="-8"/>
                <w:szCs w:val="22"/>
              </w:rPr>
              <w:t>數位轉型，迎向台灣智慧島嶼新世代」活動</w:t>
            </w:r>
          </w:p>
        </w:tc>
        <w:tc>
          <w:tcPr>
            <w:tcW w:w="2976"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提升公務同仁體驗智慧科技解決方案，以提升智慧科技導入治理業務之能力。</w:t>
            </w:r>
          </w:p>
        </w:tc>
        <w:tc>
          <w:tcPr>
            <w:tcW w:w="2835"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行政院所屬中央及地方機關薦任以上人員。</w:t>
            </w:r>
          </w:p>
        </w:tc>
        <w:tc>
          <w:tcPr>
            <w:tcW w:w="3827"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a6"/>
              <w:numPr>
                <w:ilvl w:val="0"/>
                <w:numId w:val="24"/>
              </w:numPr>
              <w:spacing w:line="350" w:lineRule="exact"/>
              <w:jc w:val="both"/>
              <w:rPr>
                <w:rFonts w:ascii="微軟正黑體" w:eastAsia="微軟正黑體" w:hAnsi="微軟正黑體"/>
                <w:szCs w:val="22"/>
              </w:rPr>
            </w:pPr>
            <w:r>
              <w:rPr>
                <w:rFonts w:ascii="微軟正黑體" w:eastAsia="微軟正黑體" w:hAnsi="微軟正黑體"/>
                <w:szCs w:val="22"/>
              </w:rPr>
              <w:t>認知人臉辨識系統、智慧交通系統、圖資防災與調查科技、</w:t>
            </w:r>
            <w:r>
              <w:rPr>
                <w:rFonts w:ascii="微軟正黑體" w:eastAsia="微軟正黑體" w:hAnsi="微軟正黑體"/>
                <w:szCs w:val="22"/>
              </w:rPr>
              <w:t>i-Trash</w:t>
            </w:r>
            <w:r>
              <w:rPr>
                <w:rFonts w:ascii="微軟正黑體" w:eastAsia="微軟正黑體" w:hAnsi="微軟正黑體"/>
                <w:szCs w:val="22"/>
              </w:rPr>
              <w:t>、智慧照護系統、智慧消費、</w:t>
            </w:r>
            <w:r>
              <w:rPr>
                <w:rFonts w:ascii="微軟正黑體" w:eastAsia="微軟正黑體" w:hAnsi="微軟正黑體"/>
                <w:szCs w:val="22"/>
              </w:rPr>
              <w:t>AI-</w:t>
            </w:r>
            <w:r>
              <w:rPr>
                <w:rFonts w:ascii="微軟正黑體" w:eastAsia="微軟正黑體" w:hAnsi="微軟正黑體"/>
                <w:szCs w:val="22"/>
              </w:rPr>
              <w:t>語音服務系統等等</w:t>
            </w:r>
          </w:p>
          <w:p w:rsidR="005E7470" w:rsidRDefault="00455C99">
            <w:pPr>
              <w:pStyle w:val="a6"/>
              <w:numPr>
                <w:ilvl w:val="0"/>
                <w:numId w:val="21"/>
              </w:numPr>
              <w:spacing w:line="350" w:lineRule="exact"/>
              <w:jc w:val="both"/>
              <w:rPr>
                <w:rFonts w:ascii="微軟正黑體" w:eastAsia="微軟正黑體" w:hAnsi="微軟正黑體"/>
                <w:szCs w:val="22"/>
              </w:rPr>
            </w:pPr>
            <w:r>
              <w:rPr>
                <w:rFonts w:ascii="微軟正黑體" w:eastAsia="微軟正黑體" w:hAnsi="微軟正黑體"/>
                <w:szCs w:val="22"/>
              </w:rPr>
              <w:t>科技系統體驗與應用交流活動</w:t>
            </w:r>
          </w:p>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w:t>
            </w:r>
            <w:r>
              <w:rPr>
                <w:rFonts w:ascii="微軟正黑體" w:eastAsia="微軟正黑體" w:hAnsi="微軟正黑體"/>
                <w:szCs w:val="22"/>
              </w:rPr>
              <w:t>現場並設有體驗攤位及闖關活動及</w:t>
            </w:r>
            <w:r>
              <w:rPr>
                <w:rFonts w:ascii="微軟正黑體" w:eastAsia="微軟正黑體" w:hAnsi="微軟正黑體"/>
                <w:szCs w:val="22"/>
              </w:rPr>
              <w:t>15-20</w:t>
            </w:r>
            <w:r>
              <w:rPr>
                <w:rFonts w:ascii="微軟正黑體" w:eastAsia="微軟正黑體" w:hAnsi="微軟正黑體"/>
                <w:szCs w:val="22"/>
              </w:rPr>
              <w:t>分鐘介紹短講</w:t>
            </w:r>
            <w:r>
              <w:rPr>
                <w:rFonts w:ascii="微軟正黑體" w:eastAsia="微軟正黑體" w:hAnsi="微軟正黑體"/>
                <w:szCs w:val="22"/>
              </w:rPr>
              <w:t>)</w:t>
            </w:r>
          </w:p>
        </w:tc>
        <w:tc>
          <w:tcPr>
            <w:tcW w:w="1418"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1</w:t>
            </w:r>
            <w:r>
              <w:rPr>
                <w:rFonts w:ascii="微軟正黑體" w:eastAsia="微軟正黑體" w:hAnsi="微軟正黑體"/>
                <w:szCs w:val="22"/>
              </w:rPr>
              <w:t>天</w:t>
            </w:r>
          </w:p>
        </w:tc>
        <w:tc>
          <w:tcPr>
            <w:tcW w:w="2335"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200</w:t>
            </w:r>
            <w:r>
              <w:rPr>
                <w:rFonts w:ascii="微軟正黑體" w:eastAsia="微軟正黑體" w:hAnsi="微軟正黑體"/>
                <w:szCs w:val="22"/>
              </w:rPr>
              <w:t>人</w:t>
            </w:r>
          </w:p>
        </w:tc>
        <w:tc>
          <w:tcPr>
            <w:tcW w:w="2410"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行政院人事行政行政總處公務人力發展學院</w:t>
            </w:r>
            <w:r>
              <w:rPr>
                <w:rFonts w:ascii="微軟正黑體" w:eastAsia="微軟正黑體" w:hAnsi="微軟正黑體"/>
                <w:szCs w:val="22"/>
              </w:rPr>
              <w:t>(</w:t>
            </w:r>
            <w:r>
              <w:rPr>
                <w:rFonts w:ascii="微軟正黑體" w:eastAsia="微軟正黑體" w:hAnsi="微軟正黑體"/>
                <w:szCs w:val="22"/>
              </w:rPr>
              <w:t>臺北院區</w:t>
            </w:r>
            <w:r>
              <w:rPr>
                <w:rFonts w:ascii="微軟正黑體" w:eastAsia="微軟正黑體" w:hAnsi="微軟正黑體"/>
                <w:szCs w:val="22"/>
              </w:rPr>
              <w:t>)</w:t>
            </w:r>
          </w:p>
        </w:tc>
        <w:tc>
          <w:tcPr>
            <w:tcW w:w="2410" w:type="dxa"/>
            <w:tcBorders>
              <w:top w:val="single" w:sz="6" w:space="0" w:color="00000A"/>
              <w:left w:val="single" w:sz="6" w:space="0" w:color="00000A"/>
              <w:bottom w:val="single" w:sz="6" w:space="0" w:color="00000A"/>
              <w:right w:val="single" w:sz="18"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本研習不提供住宿及提前住宿，僅提供午餐</w:t>
            </w:r>
          </w:p>
          <w:p w:rsidR="005E7470" w:rsidRDefault="005E7470">
            <w:pPr>
              <w:pStyle w:val="Standard"/>
              <w:spacing w:line="350" w:lineRule="exact"/>
              <w:jc w:val="both"/>
              <w:rPr>
                <w:rFonts w:ascii="微軟正黑體" w:eastAsia="微軟正黑體" w:hAnsi="微軟正黑體"/>
                <w:szCs w:val="22"/>
              </w:rPr>
            </w:pPr>
          </w:p>
        </w:tc>
      </w:tr>
      <w:tr w:rsidR="005E7470">
        <w:tblPrEx>
          <w:tblCellMar>
            <w:top w:w="0" w:type="dxa"/>
            <w:bottom w:w="0" w:type="dxa"/>
          </w:tblCellMar>
        </w:tblPrEx>
        <w:trPr>
          <w:trHeight w:val="1865"/>
          <w:jc w:val="center"/>
        </w:trPr>
        <w:tc>
          <w:tcPr>
            <w:tcW w:w="2230" w:type="dxa"/>
            <w:tcBorders>
              <w:left w:val="single" w:sz="18"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after="180" w:line="400" w:lineRule="exact"/>
              <w:rPr>
                <w:rFonts w:ascii="微軟正黑體" w:eastAsia="微軟正黑體" w:hAnsi="微軟正黑體"/>
                <w:b/>
                <w:szCs w:val="22"/>
              </w:rPr>
            </w:pPr>
            <w:r>
              <w:rPr>
                <w:rFonts w:ascii="微軟正黑體" w:eastAsia="微軟正黑體" w:hAnsi="微軟正黑體"/>
                <w:b/>
                <w:szCs w:val="22"/>
              </w:rPr>
              <w:t>智慧消費</w:t>
            </w:r>
            <w:r>
              <w:rPr>
                <w:rFonts w:ascii="微軟正黑體" w:eastAsia="微軟正黑體" w:hAnsi="微軟正黑體"/>
                <w:b/>
                <w:szCs w:val="22"/>
              </w:rPr>
              <w:t>(</w:t>
            </w:r>
            <w:r>
              <w:rPr>
                <w:rFonts w:ascii="微軟正黑體" w:eastAsia="微軟正黑體" w:hAnsi="微軟正黑體"/>
                <w:b/>
                <w:szCs w:val="22"/>
              </w:rPr>
              <w:t>智取</w:t>
            </w:r>
            <w:r>
              <w:rPr>
                <w:rFonts w:ascii="微軟正黑體" w:eastAsia="微軟正黑體" w:hAnsi="微軟正黑體"/>
                <w:b/>
                <w:szCs w:val="22"/>
              </w:rPr>
              <w:t>/</w:t>
            </w:r>
            <w:r>
              <w:rPr>
                <w:rFonts w:ascii="微軟正黑體" w:eastAsia="微軟正黑體" w:hAnsi="微軟正黑體"/>
                <w:b/>
                <w:szCs w:val="22"/>
              </w:rPr>
              <w:t>自取</w:t>
            </w:r>
            <w:r>
              <w:rPr>
                <w:rFonts w:ascii="微軟正黑體" w:eastAsia="微軟正黑體" w:hAnsi="微軟正黑體"/>
                <w:b/>
                <w:szCs w:val="22"/>
              </w:rPr>
              <w:t>)</w:t>
            </w:r>
            <w:r>
              <w:rPr>
                <w:rFonts w:ascii="微軟正黑體" w:eastAsia="微軟正黑體" w:hAnsi="微軟正黑體"/>
                <w:b/>
                <w:szCs w:val="22"/>
              </w:rPr>
              <w:t>科技研習班</w:t>
            </w:r>
          </w:p>
        </w:tc>
        <w:tc>
          <w:tcPr>
            <w:tcW w:w="2976" w:type="dxa"/>
            <w:tcBorders>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提升公務同仁運用智慧科技導入政府智慧治理業務之能力。</w:t>
            </w:r>
          </w:p>
        </w:tc>
        <w:tc>
          <w:tcPr>
            <w:tcW w:w="2835" w:type="dxa"/>
            <w:tcBorders>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行政院所屬中央及地方機關薦任以上人員。</w:t>
            </w:r>
          </w:p>
        </w:tc>
        <w:tc>
          <w:tcPr>
            <w:tcW w:w="3827" w:type="dxa"/>
            <w:tcBorders>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ind w:left="226" w:hanging="226"/>
              <w:jc w:val="both"/>
              <w:rPr>
                <w:rFonts w:ascii="微軟正黑體" w:eastAsia="微軟正黑體" w:hAnsi="微軟正黑體"/>
                <w:szCs w:val="22"/>
              </w:rPr>
            </w:pPr>
            <w:r>
              <w:rPr>
                <w:rFonts w:ascii="微軟正黑體" w:eastAsia="微軟正黑體" w:hAnsi="微軟正黑體"/>
                <w:szCs w:val="22"/>
              </w:rPr>
              <w:t>1.</w:t>
            </w:r>
            <w:r>
              <w:rPr>
                <w:rFonts w:ascii="微軟正黑體" w:eastAsia="微軟正黑體" w:hAnsi="微軟正黑體"/>
                <w:szCs w:val="22"/>
              </w:rPr>
              <w:t>認知智慧商流</w:t>
            </w:r>
            <w:r>
              <w:rPr>
                <w:rFonts w:ascii="微軟正黑體" w:eastAsia="微軟正黑體" w:hAnsi="微軟正黑體"/>
                <w:szCs w:val="22"/>
              </w:rPr>
              <w:t>(</w:t>
            </w:r>
            <w:r>
              <w:rPr>
                <w:rFonts w:ascii="微軟正黑體" w:eastAsia="微軟正黑體" w:hAnsi="微軟正黑體"/>
                <w:szCs w:val="22"/>
              </w:rPr>
              <w:t>新零售</w:t>
            </w:r>
            <w:r>
              <w:rPr>
                <w:rFonts w:ascii="微軟正黑體" w:eastAsia="微軟正黑體" w:hAnsi="微軟正黑體"/>
                <w:szCs w:val="22"/>
              </w:rPr>
              <w:t>)</w:t>
            </w:r>
            <w:r>
              <w:rPr>
                <w:rFonts w:ascii="微軟正黑體" w:eastAsia="微軟正黑體" w:hAnsi="微軟正黑體"/>
                <w:szCs w:val="22"/>
              </w:rPr>
              <w:t>、智慧金流、智慧務流、智慧資訊流等四大領域科技所發展的智取</w:t>
            </w:r>
            <w:r>
              <w:rPr>
                <w:rFonts w:ascii="微軟正黑體" w:eastAsia="微軟正黑體" w:hAnsi="微軟正黑體"/>
                <w:szCs w:val="22"/>
              </w:rPr>
              <w:t>(</w:t>
            </w:r>
            <w:r>
              <w:rPr>
                <w:rFonts w:ascii="微軟正黑體" w:eastAsia="微軟正黑體" w:hAnsi="微軟正黑體"/>
                <w:szCs w:val="22"/>
              </w:rPr>
              <w:t>自取</w:t>
            </w:r>
            <w:r>
              <w:rPr>
                <w:rFonts w:ascii="微軟正黑體" w:eastAsia="微軟正黑體" w:hAnsi="微軟正黑體"/>
                <w:szCs w:val="22"/>
              </w:rPr>
              <w:t>)</w:t>
            </w:r>
            <w:r>
              <w:rPr>
                <w:rFonts w:ascii="微軟正黑體" w:eastAsia="微軟正黑體" w:hAnsi="微軟正黑體"/>
                <w:szCs w:val="22"/>
              </w:rPr>
              <w:t>新商務。</w:t>
            </w:r>
            <w:r>
              <w:rPr>
                <w:rFonts w:ascii="微軟正黑體" w:eastAsia="微軟正黑體" w:hAnsi="微軟正黑體"/>
                <w:szCs w:val="22"/>
              </w:rPr>
              <w:t>(</w:t>
            </w:r>
            <w:r>
              <w:rPr>
                <w:rFonts w:ascii="微軟正黑體" w:eastAsia="微軟正黑體" w:hAnsi="微軟正黑體"/>
                <w:szCs w:val="22"/>
              </w:rPr>
              <w:t>如亞尼克</w:t>
            </w:r>
            <w:r>
              <w:rPr>
                <w:rFonts w:ascii="微軟正黑體" w:eastAsia="微軟正黑體" w:hAnsi="微軟正黑體"/>
                <w:szCs w:val="22"/>
              </w:rPr>
              <w:t>-</w:t>
            </w:r>
            <w:r>
              <w:rPr>
                <w:rFonts w:ascii="微軟正黑體" w:eastAsia="微軟正黑體" w:hAnsi="微軟正黑體"/>
                <w:szCs w:val="22"/>
              </w:rPr>
              <w:t>蛋糕智慧提領櫃、</w:t>
            </w:r>
            <w:r>
              <w:rPr>
                <w:rFonts w:ascii="微軟正黑體" w:eastAsia="微軟正黑體" w:hAnsi="微軟正黑體"/>
                <w:szCs w:val="22"/>
              </w:rPr>
              <w:t>7-ELEVEN</w:t>
            </w:r>
            <w:r>
              <w:rPr>
                <w:rFonts w:ascii="微軟正黑體" w:eastAsia="微軟正黑體" w:hAnsi="微軟正黑體"/>
                <w:szCs w:val="22"/>
              </w:rPr>
              <w:t>無人商店等</w:t>
            </w:r>
            <w:r>
              <w:rPr>
                <w:rFonts w:ascii="微軟正黑體" w:eastAsia="微軟正黑體" w:hAnsi="微軟正黑體"/>
                <w:szCs w:val="22"/>
              </w:rPr>
              <w:t>)</w:t>
            </w:r>
          </w:p>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2.</w:t>
            </w:r>
            <w:r>
              <w:rPr>
                <w:rFonts w:ascii="微軟正黑體" w:eastAsia="微軟正黑體" w:hAnsi="微軟正黑體"/>
                <w:szCs w:val="22"/>
              </w:rPr>
              <w:t>體驗自取消費活動</w:t>
            </w:r>
          </w:p>
        </w:tc>
        <w:tc>
          <w:tcPr>
            <w:tcW w:w="1418" w:type="dxa"/>
            <w:tcBorders>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1</w:t>
            </w:r>
            <w:r>
              <w:rPr>
                <w:rFonts w:ascii="微軟正黑體" w:eastAsia="微軟正黑體" w:hAnsi="微軟正黑體"/>
                <w:szCs w:val="22"/>
              </w:rPr>
              <w:t>天</w:t>
            </w:r>
          </w:p>
        </w:tc>
        <w:tc>
          <w:tcPr>
            <w:tcW w:w="2335" w:type="dxa"/>
            <w:tcBorders>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40</w:t>
            </w:r>
            <w:r>
              <w:rPr>
                <w:rFonts w:ascii="微軟正黑體" w:eastAsia="微軟正黑體" w:hAnsi="微軟正黑體"/>
                <w:szCs w:val="22"/>
              </w:rPr>
              <w:t>人</w:t>
            </w:r>
          </w:p>
        </w:tc>
        <w:tc>
          <w:tcPr>
            <w:tcW w:w="2410" w:type="dxa"/>
            <w:tcBorders>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工業技術研究院中興院區</w:t>
            </w:r>
            <w:r>
              <w:rPr>
                <w:rFonts w:ascii="微軟正黑體" w:eastAsia="微軟正黑體" w:hAnsi="微軟正黑體"/>
                <w:szCs w:val="22"/>
              </w:rPr>
              <w:t>(</w:t>
            </w:r>
            <w:r>
              <w:rPr>
                <w:rFonts w:ascii="微軟正黑體" w:eastAsia="微軟正黑體" w:hAnsi="微軟正黑體"/>
                <w:szCs w:val="22"/>
              </w:rPr>
              <w:t>新竹縣竹東鎮</w:t>
            </w:r>
            <w:r>
              <w:rPr>
                <w:rFonts w:ascii="微軟正黑體" w:eastAsia="微軟正黑體" w:hAnsi="微軟正黑體"/>
                <w:szCs w:val="22"/>
              </w:rPr>
              <w:t>)</w:t>
            </w:r>
          </w:p>
        </w:tc>
        <w:tc>
          <w:tcPr>
            <w:tcW w:w="2410" w:type="dxa"/>
            <w:tcBorders>
              <w:left w:val="single" w:sz="6" w:space="0" w:color="00000A"/>
              <w:bottom w:val="single" w:sz="6" w:space="0" w:color="00000A"/>
              <w:right w:val="single" w:sz="18"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本研習不提供住宿及提前住宿，僅提供午餐及竹北高鐵接送</w:t>
            </w:r>
          </w:p>
        </w:tc>
      </w:tr>
      <w:tr w:rsidR="005E7470">
        <w:tblPrEx>
          <w:tblCellMar>
            <w:top w:w="0" w:type="dxa"/>
            <w:bottom w:w="0" w:type="dxa"/>
          </w:tblCellMar>
        </w:tblPrEx>
        <w:trPr>
          <w:trHeight w:val="425"/>
          <w:jc w:val="center"/>
        </w:trPr>
        <w:tc>
          <w:tcPr>
            <w:tcW w:w="2230" w:type="dxa"/>
            <w:tcBorders>
              <w:top w:val="single" w:sz="6" w:space="0" w:color="00000A"/>
              <w:left w:val="single" w:sz="18"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after="180" w:line="400" w:lineRule="exact"/>
              <w:rPr>
                <w:rFonts w:ascii="微軟正黑體" w:eastAsia="微軟正黑體" w:hAnsi="微軟正黑體"/>
                <w:b/>
                <w:szCs w:val="22"/>
              </w:rPr>
            </w:pPr>
            <w:r>
              <w:rPr>
                <w:rFonts w:ascii="微軟正黑體" w:eastAsia="微軟正黑體" w:hAnsi="微軟正黑體"/>
                <w:b/>
                <w:szCs w:val="22"/>
              </w:rPr>
              <w:t>圖資防災與調查科技研習班</w:t>
            </w:r>
          </w:p>
        </w:tc>
        <w:tc>
          <w:tcPr>
            <w:tcW w:w="2976"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提升公務同仁對應用資訊科技工具之理解，並藉由實際操作相關科技服務工具更深耕政府智慧城市之治理與業務能力。</w:t>
            </w:r>
          </w:p>
        </w:tc>
        <w:tc>
          <w:tcPr>
            <w:tcW w:w="2835"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行政院所屬中央及地方機關薦任以上人員。</w:t>
            </w:r>
          </w:p>
        </w:tc>
        <w:tc>
          <w:tcPr>
            <w:tcW w:w="3827"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a6"/>
              <w:numPr>
                <w:ilvl w:val="0"/>
                <w:numId w:val="25"/>
              </w:numPr>
              <w:spacing w:line="350" w:lineRule="exact"/>
              <w:jc w:val="both"/>
              <w:rPr>
                <w:rFonts w:ascii="微軟正黑體" w:eastAsia="微軟正黑體" w:hAnsi="微軟正黑體"/>
                <w:szCs w:val="22"/>
              </w:rPr>
            </w:pPr>
            <w:r>
              <w:rPr>
                <w:rFonts w:ascii="微軟正黑體" w:eastAsia="微軟正黑體" w:hAnsi="微軟正黑體"/>
                <w:szCs w:val="22"/>
              </w:rPr>
              <w:t>認知智慧城市之安全災防資料調查科技，包括介紹究平安服務的國內外案例、結合無人機以及人工智慧的調查能力、以及應用此資訊收集工具平台服務的情境發</w:t>
            </w:r>
            <w:r>
              <w:rPr>
                <w:rFonts w:ascii="微軟正黑體" w:eastAsia="微軟正黑體" w:hAnsi="微軟正黑體"/>
                <w:szCs w:val="22"/>
              </w:rPr>
              <w:lastRenderedPageBreak/>
              <w:t>想以及規劃</w:t>
            </w:r>
          </w:p>
          <w:p w:rsidR="005E7470" w:rsidRDefault="00455C99">
            <w:pPr>
              <w:pStyle w:val="a6"/>
              <w:numPr>
                <w:ilvl w:val="0"/>
                <w:numId w:val="23"/>
              </w:numPr>
              <w:spacing w:line="350" w:lineRule="exact"/>
              <w:jc w:val="both"/>
              <w:rPr>
                <w:rFonts w:ascii="微軟正黑體" w:eastAsia="微軟正黑體" w:hAnsi="微軟正黑體"/>
                <w:szCs w:val="22"/>
              </w:rPr>
            </w:pPr>
            <w:r>
              <w:rPr>
                <w:rFonts w:ascii="微軟正黑體" w:eastAsia="微軟正黑體" w:hAnsi="微軟正黑體"/>
                <w:szCs w:val="22"/>
              </w:rPr>
              <w:t>體驗「究平安」應用系統</w:t>
            </w:r>
          </w:p>
        </w:tc>
        <w:tc>
          <w:tcPr>
            <w:tcW w:w="1418"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lastRenderedPageBreak/>
              <w:t>1</w:t>
            </w:r>
            <w:r>
              <w:rPr>
                <w:rFonts w:ascii="微軟正黑體" w:eastAsia="微軟正黑體" w:hAnsi="微軟正黑體"/>
                <w:szCs w:val="22"/>
              </w:rPr>
              <w:t>天</w:t>
            </w:r>
          </w:p>
        </w:tc>
        <w:tc>
          <w:tcPr>
            <w:tcW w:w="2335"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40</w:t>
            </w:r>
            <w:r>
              <w:rPr>
                <w:rFonts w:ascii="微軟正黑體" w:eastAsia="微軟正黑體" w:hAnsi="微軟正黑體"/>
                <w:szCs w:val="22"/>
              </w:rPr>
              <w:t>人</w:t>
            </w:r>
          </w:p>
        </w:tc>
        <w:tc>
          <w:tcPr>
            <w:tcW w:w="2410"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工業技術研究院中興院區</w:t>
            </w:r>
            <w:r>
              <w:rPr>
                <w:rFonts w:ascii="微軟正黑體" w:eastAsia="微軟正黑體" w:hAnsi="微軟正黑體"/>
                <w:szCs w:val="22"/>
              </w:rPr>
              <w:t>(</w:t>
            </w:r>
            <w:r>
              <w:rPr>
                <w:rFonts w:ascii="微軟正黑體" w:eastAsia="微軟正黑體" w:hAnsi="微軟正黑體"/>
                <w:szCs w:val="22"/>
              </w:rPr>
              <w:t>新竹縣竹東鎮</w:t>
            </w:r>
            <w:r>
              <w:rPr>
                <w:rFonts w:ascii="微軟正黑體" w:eastAsia="微軟正黑體" w:hAnsi="微軟正黑體"/>
                <w:szCs w:val="22"/>
              </w:rPr>
              <w:t>)</w:t>
            </w:r>
          </w:p>
        </w:tc>
        <w:tc>
          <w:tcPr>
            <w:tcW w:w="2410" w:type="dxa"/>
            <w:tcBorders>
              <w:top w:val="single" w:sz="6" w:space="0" w:color="00000A"/>
              <w:left w:val="single" w:sz="6" w:space="0" w:color="00000A"/>
              <w:bottom w:val="single" w:sz="6" w:space="0" w:color="00000A"/>
              <w:right w:val="single" w:sz="18"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本研習不提供住宿及提前住宿，僅提供午餐及竹北高鐵接送</w:t>
            </w:r>
          </w:p>
        </w:tc>
      </w:tr>
      <w:tr w:rsidR="005E7470">
        <w:tblPrEx>
          <w:tblCellMar>
            <w:top w:w="0" w:type="dxa"/>
            <w:bottom w:w="0" w:type="dxa"/>
          </w:tblCellMar>
        </w:tblPrEx>
        <w:trPr>
          <w:trHeight w:val="1370"/>
          <w:jc w:val="center"/>
        </w:trPr>
        <w:tc>
          <w:tcPr>
            <w:tcW w:w="2230" w:type="dxa"/>
            <w:tcBorders>
              <w:top w:val="single" w:sz="6" w:space="0" w:color="00000A"/>
              <w:left w:val="single" w:sz="18" w:space="0" w:color="00000A"/>
              <w:bottom w:val="single" w:sz="6"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after="180" w:line="400" w:lineRule="exact"/>
              <w:rPr>
                <w:rFonts w:ascii="微軟正黑體" w:eastAsia="微軟正黑體" w:hAnsi="微軟正黑體"/>
                <w:b/>
                <w:szCs w:val="22"/>
              </w:rPr>
            </w:pPr>
            <w:r>
              <w:rPr>
                <w:rFonts w:ascii="微軟正黑體" w:eastAsia="微軟正黑體" w:hAnsi="微軟正黑體"/>
                <w:b/>
                <w:szCs w:val="22"/>
              </w:rPr>
              <w:lastRenderedPageBreak/>
              <w:t>語音</w:t>
            </w:r>
            <w:r>
              <w:rPr>
                <w:rFonts w:ascii="微軟正黑體" w:eastAsia="微軟正黑體" w:hAnsi="微軟正黑體"/>
                <w:b/>
                <w:szCs w:val="22"/>
              </w:rPr>
              <w:t>AI</w:t>
            </w:r>
            <w:r>
              <w:rPr>
                <w:rFonts w:ascii="微軟正黑體" w:eastAsia="微軟正黑體" w:hAnsi="微軟正黑體"/>
                <w:b/>
                <w:szCs w:val="22"/>
              </w:rPr>
              <w:t>科技研習班</w:t>
            </w:r>
          </w:p>
        </w:tc>
        <w:tc>
          <w:tcPr>
            <w:tcW w:w="2976"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提升公務同仁運用智慧科技導入政府智慧治理業務之能力。</w:t>
            </w:r>
          </w:p>
        </w:tc>
        <w:tc>
          <w:tcPr>
            <w:tcW w:w="2835"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行政院所屬中央及地方機關薦任以上人員。</w:t>
            </w:r>
          </w:p>
        </w:tc>
        <w:tc>
          <w:tcPr>
            <w:tcW w:w="3827"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a6"/>
              <w:numPr>
                <w:ilvl w:val="0"/>
                <w:numId w:val="26"/>
              </w:numPr>
              <w:spacing w:line="350" w:lineRule="exact"/>
              <w:jc w:val="both"/>
              <w:rPr>
                <w:rFonts w:ascii="微軟正黑體" w:eastAsia="微軟正黑體" w:hAnsi="微軟正黑體"/>
                <w:szCs w:val="22"/>
              </w:rPr>
            </w:pPr>
            <w:r>
              <w:rPr>
                <w:rFonts w:ascii="微軟正黑體" w:eastAsia="微軟正黑體" w:hAnsi="微軟正黑體"/>
                <w:szCs w:val="22"/>
              </w:rPr>
              <w:t>認知</w:t>
            </w:r>
            <w:r>
              <w:rPr>
                <w:rFonts w:ascii="微軟正黑體" w:eastAsia="微軟正黑體" w:hAnsi="微軟正黑體"/>
                <w:szCs w:val="22"/>
              </w:rPr>
              <w:t>AI</w:t>
            </w:r>
            <w:r>
              <w:rPr>
                <w:rFonts w:ascii="微軟正黑體" w:eastAsia="微軟正黑體" w:hAnsi="微軟正黑體"/>
                <w:szCs w:val="22"/>
              </w:rPr>
              <w:t>語音系統發展現況</w:t>
            </w:r>
          </w:p>
          <w:p w:rsidR="005E7470" w:rsidRDefault="00455C99">
            <w:pPr>
              <w:pStyle w:val="a6"/>
              <w:numPr>
                <w:ilvl w:val="0"/>
                <w:numId w:val="22"/>
              </w:numPr>
              <w:spacing w:line="350" w:lineRule="exact"/>
              <w:jc w:val="both"/>
              <w:rPr>
                <w:rFonts w:ascii="微軟正黑體" w:eastAsia="微軟正黑體" w:hAnsi="微軟正黑體"/>
                <w:szCs w:val="22"/>
              </w:rPr>
            </w:pPr>
            <w:r>
              <w:rPr>
                <w:rFonts w:ascii="微軟正黑體" w:eastAsia="微軟正黑體" w:hAnsi="微軟正黑體"/>
                <w:szCs w:val="22"/>
              </w:rPr>
              <w:t>體驗各類</w:t>
            </w:r>
            <w:r>
              <w:rPr>
                <w:rFonts w:ascii="微軟正黑體" w:eastAsia="微軟正黑體" w:hAnsi="微軟正黑體"/>
                <w:szCs w:val="22"/>
              </w:rPr>
              <w:t>AI</w:t>
            </w:r>
            <w:r>
              <w:rPr>
                <w:rFonts w:ascii="微軟正黑體" w:eastAsia="微軟正黑體" w:hAnsi="微軟正黑體"/>
                <w:szCs w:val="22"/>
              </w:rPr>
              <w:t>音箱</w:t>
            </w:r>
          </w:p>
          <w:p w:rsidR="005E7470" w:rsidRDefault="00455C99">
            <w:pPr>
              <w:pStyle w:val="a6"/>
              <w:numPr>
                <w:ilvl w:val="0"/>
                <w:numId w:val="22"/>
              </w:numPr>
              <w:spacing w:line="350" w:lineRule="exact"/>
              <w:jc w:val="both"/>
              <w:rPr>
                <w:rFonts w:ascii="微軟正黑體" w:eastAsia="微軟正黑體" w:hAnsi="微軟正黑體"/>
                <w:szCs w:val="22"/>
              </w:rPr>
            </w:pPr>
            <w:r>
              <w:rPr>
                <w:rFonts w:ascii="微軟正黑體" w:eastAsia="微軟正黑體" w:hAnsi="微軟正黑體"/>
                <w:szCs w:val="22"/>
              </w:rPr>
              <w:t>FAO</w:t>
            </w:r>
            <w:r>
              <w:rPr>
                <w:rFonts w:ascii="微軟正黑體" w:eastAsia="微軟正黑體" w:hAnsi="微軟正黑體"/>
                <w:szCs w:val="22"/>
              </w:rPr>
              <w:t>文字轉語音的發展與應用</w:t>
            </w:r>
          </w:p>
        </w:tc>
        <w:tc>
          <w:tcPr>
            <w:tcW w:w="1418"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1</w:t>
            </w:r>
            <w:r>
              <w:rPr>
                <w:rFonts w:ascii="微軟正黑體" w:eastAsia="微軟正黑體" w:hAnsi="微軟正黑體"/>
                <w:szCs w:val="22"/>
              </w:rPr>
              <w:t>天</w:t>
            </w:r>
          </w:p>
        </w:tc>
        <w:tc>
          <w:tcPr>
            <w:tcW w:w="2335"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40</w:t>
            </w:r>
            <w:r>
              <w:rPr>
                <w:rFonts w:ascii="微軟正黑體" w:eastAsia="微軟正黑體" w:hAnsi="微軟正黑體"/>
                <w:szCs w:val="22"/>
              </w:rPr>
              <w:t>人</w:t>
            </w:r>
          </w:p>
        </w:tc>
        <w:tc>
          <w:tcPr>
            <w:tcW w:w="2410" w:type="dxa"/>
            <w:tcBorders>
              <w:top w:val="single" w:sz="6" w:space="0" w:color="00000A"/>
              <w:left w:val="single" w:sz="6" w:space="0" w:color="00000A"/>
              <w:bottom w:val="single" w:sz="6"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工業技術研究院中興院區</w:t>
            </w:r>
            <w:r>
              <w:rPr>
                <w:rFonts w:ascii="微軟正黑體" w:eastAsia="微軟正黑體" w:hAnsi="微軟正黑體"/>
                <w:szCs w:val="22"/>
              </w:rPr>
              <w:t>(</w:t>
            </w:r>
            <w:r>
              <w:rPr>
                <w:rFonts w:ascii="微軟正黑體" w:eastAsia="微軟正黑體" w:hAnsi="微軟正黑體"/>
                <w:szCs w:val="22"/>
              </w:rPr>
              <w:t>新竹縣竹東鎮</w:t>
            </w:r>
            <w:r>
              <w:rPr>
                <w:rFonts w:ascii="微軟正黑體" w:eastAsia="微軟正黑體" w:hAnsi="微軟正黑體"/>
                <w:szCs w:val="22"/>
              </w:rPr>
              <w:t>)</w:t>
            </w:r>
          </w:p>
        </w:tc>
        <w:tc>
          <w:tcPr>
            <w:tcW w:w="2410" w:type="dxa"/>
            <w:tcBorders>
              <w:top w:val="single" w:sz="6" w:space="0" w:color="00000A"/>
              <w:left w:val="single" w:sz="6" w:space="0" w:color="00000A"/>
              <w:bottom w:val="single" w:sz="6" w:space="0" w:color="00000A"/>
              <w:right w:val="single" w:sz="18"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本研習不提供住宿及提前住宿，僅提供午餐及竹北高鐵接送</w:t>
            </w:r>
          </w:p>
        </w:tc>
      </w:tr>
      <w:tr w:rsidR="005E7470">
        <w:tblPrEx>
          <w:tblCellMar>
            <w:top w:w="0" w:type="dxa"/>
            <w:bottom w:w="0" w:type="dxa"/>
          </w:tblCellMar>
        </w:tblPrEx>
        <w:trPr>
          <w:trHeight w:val="1116"/>
          <w:jc w:val="center"/>
        </w:trPr>
        <w:tc>
          <w:tcPr>
            <w:tcW w:w="2230" w:type="dxa"/>
            <w:tcBorders>
              <w:top w:val="single" w:sz="6" w:space="0" w:color="00000A"/>
              <w:left w:val="single" w:sz="18" w:space="0" w:color="00000A"/>
              <w:bottom w:val="single" w:sz="18" w:space="0" w:color="00000A"/>
              <w:right w:val="single" w:sz="6" w:space="0" w:color="00000A"/>
            </w:tcBorders>
            <w:shd w:val="clear" w:color="auto" w:fill="DDD9C3"/>
            <w:tcMar>
              <w:top w:w="0" w:type="dxa"/>
              <w:left w:w="130" w:type="dxa"/>
              <w:bottom w:w="0" w:type="dxa"/>
              <w:right w:w="108" w:type="dxa"/>
            </w:tcMar>
            <w:vAlign w:val="center"/>
          </w:tcPr>
          <w:p w:rsidR="005E7470" w:rsidRDefault="00455C99">
            <w:pPr>
              <w:pStyle w:val="Standard"/>
              <w:spacing w:after="180" w:line="400" w:lineRule="exact"/>
              <w:rPr>
                <w:rFonts w:ascii="微軟正黑體" w:eastAsia="微軟正黑體" w:hAnsi="微軟正黑體"/>
                <w:b/>
                <w:szCs w:val="22"/>
              </w:rPr>
            </w:pPr>
            <w:r>
              <w:rPr>
                <w:rFonts w:ascii="微軟正黑體" w:eastAsia="微軟正黑體" w:hAnsi="微軟正黑體"/>
                <w:b/>
                <w:szCs w:val="22"/>
              </w:rPr>
              <w:t>智慧電網科技見學研習班</w:t>
            </w:r>
          </w:p>
        </w:tc>
        <w:tc>
          <w:tcPr>
            <w:tcW w:w="2976" w:type="dxa"/>
            <w:tcBorders>
              <w:top w:val="single" w:sz="6" w:space="0" w:color="00000A"/>
              <w:left w:val="single" w:sz="6" w:space="0" w:color="00000A"/>
              <w:bottom w:val="single" w:sz="18"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提升公務同仁運用智慧科技導入政府智慧治理業務之能力。</w:t>
            </w:r>
          </w:p>
        </w:tc>
        <w:tc>
          <w:tcPr>
            <w:tcW w:w="2835" w:type="dxa"/>
            <w:tcBorders>
              <w:top w:val="single" w:sz="6" w:space="0" w:color="00000A"/>
              <w:left w:val="single" w:sz="6" w:space="0" w:color="00000A"/>
              <w:bottom w:val="single" w:sz="18"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行政院所屬中央及地方機關薦任以上人員。</w:t>
            </w:r>
          </w:p>
        </w:tc>
        <w:tc>
          <w:tcPr>
            <w:tcW w:w="3827" w:type="dxa"/>
            <w:tcBorders>
              <w:top w:val="single" w:sz="6" w:space="0" w:color="00000A"/>
              <w:left w:val="single" w:sz="6" w:space="0" w:color="00000A"/>
              <w:bottom w:val="single" w:sz="18"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ind w:left="226" w:hanging="226"/>
              <w:jc w:val="both"/>
              <w:rPr>
                <w:rFonts w:ascii="微軟正黑體" w:eastAsia="微軟正黑體" w:hAnsi="微軟正黑體"/>
                <w:szCs w:val="22"/>
              </w:rPr>
            </w:pPr>
            <w:r>
              <w:rPr>
                <w:rFonts w:ascii="微軟正黑體" w:eastAsia="微軟正黑體" w:hAnsi="微軟正黑體"/>
                <w:szCs w:val="22"/>
              </w:rPr>
              <w:t>1.</w:t>
            </w:r>
            <w:r>
              <w:rPr>
                <w:rFonts w:ascii="微軟正黑體" w:eastAsia="微軟正黑體" w:hAnsi="微軟正黑體"/>
                <w:szCs w:val="22"/>
              </w:rPr>
              <w:t>認識智慧電網全球與臺灣建置情形</w:t>
            </w:r>
          </w:p>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2.</w:t>
            </w:r>
            <w:r>
              <w:rPr>
                <w:rFonts w:ascii="微軟正黑體" w:eastAsia="微軟正黑體" w:hAnsi="微軟正黑體"/>
                <w:szCs w:val="22"/>
              </w:rPr>
              <w:t>赴臺電智慧電網展示場見學</w:t>
            </w:r>
          </w:p>
        </w:tc>
        <w:tc>
          <w:tcPr>
            <w:tcW w:w="1418" w:type="dxa"/>
            <w:tcBorders>
              <w:top w:val="single" w:sz="6" w:space="0" w:color="00000A"/>
              <w:left w:val="single" w:sz="6" w:space="0" w:color="00000A"/>
              <w:bottom w:val="single" w:sz="18"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1</w:t>
            </w:r>
            <w:r>
              <w:rPr>
                <w:rFonts w:ascii="微軟正黑體" w:eastAsia="微軟正黑體" w:hAnsi="微軟正黑體"/>
                <w:szCs w:val="22"/>
              </w:rPr>
              <w:t>天</w:t>
            </w:r>
          </w:p>
        </w:tc>
        <w:tc>
          <w:tcPr>
            <w:tcW w:w="2335" w:type="dxa"/>
            <w:tcBorders>
              <w:top w:val="single" w:sz="6" w:space="0" w:color="00000A"/>
              <w:left w:val="single" w:sz="6" w:space="0" w:color="00000A"/>
              <w:bottom w:val="single" w:sz="18"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36</w:t>
            </w:r>
            <w:r>
              <w:rPr>
                <w:rFonts w:ascii="微軟正黑體" w:eastAsia="微軟正黑體" w:hAnsi="微軟正黑體"/>
                <w:szCs w:val="22"/>
              </w:rPr>
              <w:t>人</w:t>
            </w:r>
          </w:p>
        </w:tc>
        <w:tc>
          <w:tcPr>
            <w:tcW w:w="2410" w:type="dxa"/>
            <w:tcBorders>
              <w:top w:val="single" w:sz="6" w:space="0" w:color="00000A"/>
              <w:left w:val="single" w:sz="6" w:space="0" w:color="00000A"/>
              <w:bottom w:val="single" w:sz="18" w:space="0" w:color="00000A"/>
              <w:right w:val="single" w:sz="6"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行政院人事行政行政總處公務人力發展學院</w:t>
            </w:r>
            <w:r>
              <w:rPr>
                <w:rFonts w:ascii="微軟正黑體" w:eastAsia="微軟正黑體" w:hAnsi="微軟正黑體"/>
                <w:szCs w:val="22"/>
              </w:rPr>
              <w:t>(</w:t>
            </w:r>
            <w:r>
              <w:rPr>
                <w:rFonts w:ascii="微軟正黑體" w:eastAsia="微軟正黑體" w:hAnsi="微軟正黑體"/>
                <w:szCs w:val="22"/>
              </w:rPr>
              <w:t>臺北院區</w:t>
            </w:r>
            <w:r>
              <w:rPr>
                <w:rFonts w:ascii="微軟正黑體" w:eastAsia="微軟正黑體" w:hAnsi="微軟正黑體"/>
                <w:szCs w:val="22"/>
              </w:rPr>
              <w:t>)</w:t>
            </w:r>
            <w:r>
              <w:rPr>
                <w:rFonts w:ascii="微軟正黑體" w:eastAsia="微軟正黑體" w:hAnsi="微軟正黑體"/>
                <w:szCs w:val="22"/>
              </w:rPr>
              <w:t>及羅斯福路台電總公司展示中心</w:t>
            </w:r>
          </w:p>
        </w:tc>
        <w:tc>
          <w:tcPr>
            <w:tcW w:w="2410" w:type="dxa"/>
            <w:tcBorders>
              <w:top w:val="single" w:sz="6" w:space="0" w:color="00000A"/>
              <w:left w:val="single" w:sz="6" w:space="0" w:color="00000A"/>
              <w:bottom w:val="single" w:sz="18" w:space="0" w:color="00000A"/>
              <w:right w:val="single" w:sz="18" w:space="0" w:color="00000A"/>
            </w:tcBorders>
            <w:shd w:val="clear" w:color="auto" w:fill="FFFFCC"/>
            <w:tcMar>
              <w:top w:w="0" w:type="dxa"/>
              <w:left w:w="130" w:type="dxa"/>
              <w:bottom w:w="0" w:type="dxa"/>
              <w:right w:w="108" w:type="dxa"/>
            </w:tcMar>
          </w:tcPr>
          <w:p w:rsidR="005E7470" w:rsidRDefault="00455C99">
            <w:pPr>
              <w:pStyle w:val="Standard"/>
              <w:spacing w:line="350" w:lineRule="exact"/>
              <w:jc w:val="both"/>
              <w:rPr>
                <w:rFonts w:ascii="微軟正黑體" w:eastAsia="微軟正黑體" w:hAnsi="微軟正黑體"/>
                <w:szCs w:val="22"/>
              </w:rPr>
            </w:pPr>
            <w:r>
              <w:rPr>
                <w:rFonts w:ascii="微軟正黑體" w:eastAsia="微軟正黑體" w:hAnsi="微軟正黑體"/>
                <w:szCs w:val="22"/>
              </w:rPr>
              <w:t>本研習不提供住宿及提前住宿，僅提供午餐</w:t>
            </w:r>
          </w:p>
          <w:p w:rsidR="005E7470" w:rsidRDefault="005E7470">
            <w:pPr>
              <w:pStyle w:val="Standard"/>
              <w:spacing w:line="350" w:lineRule="exact"/>
              <w:jc w:val="both"/>
              <w:rPr>
                <w:rFonts w:ascii="微軟正黑體" w:eastAsia="微軟正黑體" w:hAnsi="微軟正黑體"/>
                <w:szCs w:val="22"/>
              </w:rPr>
            </w:pPr>
          </w:p>
        </w:tc>
      </w:tr>
    </w:tbl>
    <w:p w:rsidR="005E7470" w:rsidRDefault="005E7470">
      <w:pPr>
        <w:pStyle w:val="Standard"/>
        <w:spacing w:line="240" w:lineRule="exact"/>
        <w:rPr>
          <w:rFonts w:ascii="微軟正黑體" w:eastAsia="微軟正黑體" w:hAnsi="微軟正黑體"/>
        </w:rPr>
      </w:pPr>
    </w:p>
    <w:p w:rsidR="005E7470" w:rsidRDefault="005E7470">
      <w:pPr>
        <w:pStyle w:val="Standard"/>
        <w:spacing w:after="180" w:line="240" w:lineRule="exact"/>
        <w:jc w:val="center"/>
      </w:pPr>
    </w:p>
    <w:sectPr w:rsidR="005E7470">
      <w:pgSz w:w="23811" w:h="16838" w:orient="landscape"/>
      <w:pgMar w:top="1440" w:right="1080" w:bottom="1440" w:left="1080"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99" w:rsidRDefault="00455C99">
      <w:r>
        <w:separator/>
      </w:r>
    </w:p>
  </w:endnote>
  <w:endnote w:type="continuationSeparator" w:id="0">
    <w:p w:rsidR="00455C99" w:rsidRDefault="0045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99" w:rsidRDefault="00455C99">
      <w:r>
        <w:rPr>
          <w:color w:val="000000"/>
        </w:rPr>
        <w:separator/>
      </w:r>
    </w:p>
  </w:footnote>
  <w:footnote w:type="continuationSeparator" w:id="0">
    <w:p w:rsidR="00455C99" w:rsidRDefault="0045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C42"/>
    <w:multiLevelType w:val="multilevel"/>
    <w:tmpl w:val="37308E44"/>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EB2FDB"/>
    <w:multiLevelType w:val="multilevel"/>
    <w:tmpl w:val="63D0A5E6"/>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8637F73"/>
    <w:multiLevelType w:val="multilevel"/>
    <w:tmpl w:val="558AE922"/>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FF41CEC"/>
    <w:multiLevelType w:val="multilevel"/>
    <w:tmpl w:val="69B01040"/>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2652E2B"/>
    <w:multiLevelType w:val="multilevel"/>
    <w:tmpl w:val="B6903A3A"/>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7CF7CEE"/>
    <w:multiLevelType w:val="multilevel"/>
    <w:tmpl w:val="F88487AE"/>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8A169C3"/>
    <w:multiLevelType w:val="multilevel"/>
    <w:tmpl w:val="66F66718"/>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E966EFD"/>
    <w:multiLevelType w:val="multilevel"/>
    <w:tmpl w:val="850E06B8"/>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3B72120"/>
    <w:multiLevelType w:val="multilevel"/>
    <w:tmpl w:val="259EAB26"/>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57A3685"/>
    <w:multiLevelType w:val="multilevel"/>
    <w:tmpl w:val="97A29AFA"/>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41E77AD1"/>
    <w:multiLevelType w:val="multilevel"/>
    <w:tmpl w:val="F4F4E72C"/>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46A4338B"/>
    <w:multiLevelType w:val="multilevel"/>
    <w:tmpl w:val="4CB649F4"/>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4B9F54C7"/>
    <w:multiLevelType w:val="multilevel"/>
    <w:tmpl w:val="31B68ECA"/>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DA904A8"/>
    <w:multiLevelType w:val="multilevel"/>
    <w:tmpl w:val="7CCACBD0"/>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2EF5E20"/>
    <w:multiLevelType w:val="multilevel"/>
    <w:tmpl w:val="68527C1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4DB1ACC"/>
    <w:multiLevelType w:val="multilevel"/>
    <w:tmpl w:val="68E464D2"/>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4F2154B"/>
    <w:multiLevelType w:val="multilevel"/>
    <w:tmpl w:val="2FA43434"/>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575C346B"/>
    <w:multiLevelType w:val="multilevel"/>
    <w:tmpl w:val="7778944C"/>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66CF5D16"/>
    <w:multiLevelType w:val="multilevel"/>
    <w:tmpl w:val="D77E88A2"/>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686E1CE8"/>
    <w:multiLevelType w:val="multilevel"/>
    <w:tmpl w:val="30C8C574"/>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6FC94571"/>
    <w:multiLevelType w:val="multilevel"/>
    <w:tmpl w:val="9370B67E"/>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78EE229C"/>
    <w:multiLevelType w:val="multilevel"/>
    <w:tmpl w:val="D4044BF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7F2B722E"/>
    <w:multiLevelType w:val="multilevel"/>
    <w:tmpl w:val="563E01DA"/>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4"/>
  </w:num>
  <w:num w:numId="2">
    <w:abstractNumId w:val="10"/>
  </w:num>
  <w:num w:numId="3">
    <w:abstractNumId w:val="1"/>
  </w:num>
  <w:num w:numId="4">
    <w:abstractNumId w:val="21"/>
  </w:num>
  <w:num w:numId="5">
    <w:abstractNumId w:val="19"/>
  </w:num>
  <w:num w:numId="6">
    <w:abstractNumId w:val="17"/>
  </w:num>
  <w:num w:numId="7">
    <w:abstractNumId w:val="11"/>
  </w:num>
  <w:num w:numId="8">
    <w:abstractNumId w:val="13"/>
  </w:num>
  <w:num w:numId="9">
    <w:abstractNumId w:val="15"/>
  </w:num>
  <w:num w:numId="10">
    <w:abstractNumId w:val="8"/>
  </w:num>
  <w:num w:numId="11">
    <w:abstractNumId w:val="9"/>
  </w:num>
  <w:num w:numId="12">
    <w:abstractNumId w:val="20"/>
  </w:num>
  <w:num w:numId="13">
    <w:abstractNumId w:val="12"/>
  </w:num>
  <w:num w:numId="14">
    <w:abstractNumId w:val="3"/>
  </w:num>
  <w:num w:numId="15">
    <w:abstractNumId w:val="18"/>
  </w:num>
  <w:num w:numId="16">
    <w:abstractNumId w:val="2"/>
  </w:num>
  <w:num w:numId="17">
    <w:abstractNumId w:val="4"/>
  </w:num>
  <w:num w:numId="18">
    <w:abstractNumId w:val="5"/>
  </w:num>
  <w:num w:numId="19">
    <w:abstractNumId w:val="16"/>
  </w:num>
  <w:num w:numId="20">
    <w:abstractNumId w:val="0"/>
  </w:num>
  <w:num w:numId="21">
    <w:abstractNumId w:val="7"/>
  </w:num>
  <w:num w:numId="22">
    <w:abstractNumId w:val="22"/>
  </w:num>
  <w:num w:numId="23">
    <w:abstractNumId w:val="6"/>
  </w:num>
  <w:num w:numId="24">
    <w:abstractNumId w:val="7"/>
    <w:lvlOverride w:ilvl="0">
      <w:startOverride w:val="1"/>
    </w:lvlOverride>
  </w:num>
  <w:num w:numId="25">
    <w:abstractNumId w:val="6"/>
    <w:lvlOverride w:ilvl="0">
      <w:startOverride w:val="1"/>
    </w:lvlOverride>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E7470"/>
    <w:rsid w:val="00455C99"/>
    <w:rsid w:val="005E7470"/>
    <w:rsid w:val="00921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主旨"/>
    <w:basedOn w:val="Standard"/>
    <w:pPr>
      <w:spacing w:line="500" w:lineRule="exact"/>
    </w:pPr>
    <w:rPr>
      <w:rFonts w:eastAsia="標楷體"/>
      <w:sz w:val="32"/>
    </w:rPr>
  </w:style>
  <w:style w:type="paragraph" w:styleId="a6">
    <w:name w:val="List Paragraph"/>
    <w:basedOn w:val="Standard"/>
    <w:pPr>
      <w:ind w:left="480"/>
    </w:p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Cambria" w:hAnsi="Cambria"/>
      <w:sz w:val="18"/>
      <w:szCs w:val="18"/>
    </w:rPr>
  </w:style>
  <w:style w:type="paragraph" w:styleId="aa">
    <w:name w:val="annotation text"/>
    <w:basedOn w:val="Standard"/>
  </w:style>
  <w:style w:type="paragraph" w:styleId="ab">
    <w:name w:val="annotation subject"/>
    <w:basedOn w:val="aa"/>
    <w:rPr>
      <w:b/>
      <w:bCs/>
    </w:rPr>
  </w:style>
  <w:style w:type="paragraph" w:styleId="3">
    <w:name w:val="Body Text 3"/>
    <w:basedOn w:val="Standard"/>
    <w:pPr>
      <w:spacing w:line="640" w:lineRule="exact"/>
    </w:pPr>
    <w:rPr>
      <w:rFonts w:ascii="標楷體" w:eastAsia="標楷體" w:hAnsi="標楷體"/>
      <w:b/>
      <w:bCs/>
      <w:color w:val="000000"/>
      <w:sz w:val="32"/>
    </w:rPr>
  </w:style>
  <w:style w:type="paragraph" w:customStyle="1" w:styleId="TableContents">
    <w:name w:val="Table Contents"/>
    <w:basedOn w:val="Standard"/>
  </w:style>
  <w:style w:type="character" w:customStyle="1" w:styleId="ac">
    <w:name w:val="頁首 字元"/>
    <w:basedOn w:val="a0"/>
    <w:rPr>
      <w:kern w:val="3"/>
    </w:rPr>
  </w:style>
  <w:style w:type="character" w:customStyle="1" w:styleId="ad">
    <w:name w:val="頁尾 字元"/>
    <w:basedOn w:val="a0"/>
    <w:rPr>
      <w:kern w:val="3"/>
    </w:rPr>
  </w:style>
  <w:style w:type="character" w:customStyle="1" w:styleId="ae">
    <w:name w:val="註解方塊文字 字元"/>
    <w:basedOn w:val="a0"/>
    <w:rPr>
      <w:rFonts w:ascii="Cambria" w:eastAsia="新細明體" w:hAnsi="Cambria" w:cs="Times New Roman"/>
      <w:kern w:val="3"/>
      <w:sz w:val="18"/>
      <w:szCs w:val="18"/>
    </w:rPr>
  </w:style>
  <w:style w:type="character" w:styleId="af">
    <w:name w:val="annotation reference"/>
    <w:basedOn w:val="a0"/>
    <w:rPr>
      <w:sz w:val="18"/>
      <w:szCs w:val="18"/>
    </w:rPr>
  </w:style>
  <w:style w:type="character" w:customStyle="1" w:styleId="af0">
    <w:name w:val="註解文字 字元"/>
    <w:basedOn w:val="a0"/>
    <w:rPr>
      <w:kern w:val="3"/>
      <w:sz w:val="24"/>
      <w:szCs w:val="24"/>
    </w:rPr>
  </w:style>
  <w:style w:type="character" w:customStyle="1" w:styleId="af1">
    <w:name w:val="註解主旨 字元"/>
    <w:basedOn w:val="af0"/>
    <w:rPr>
      <w:b/>
      <w:bCs/>
      <w:kern w:val="3"/>
      <w:sz w:val="24"/>
      <w:szCs w:val="24"/>
    </w:rPr>
  </w:style>
  <w:style w:type="character" w:styleId="af2">
    <w:name w:val="Strong"/>
    <w:rPr>
      <w:b/>
      <w:bCs/>
    </w:rPr>
  </w:style>
  <w:style w:type="character" w:customStyle="1" w:styleId="30">
    <w:name w:val="本文 3 字元"/>
    <w:basedOn w:val="a0"/>
    <w:rPr>
      <w:rFonts w:ascii="標楷體" w:eastAsia="標楷體" w:hAnsi="標楷體"/>
      <w:b/>
      <w:bCs/>
      <w:color w:val="000000"/>
      <w:kern w:val="3"/>
      <w:sz w:val="32"/>
      <w:szCs w:val="24"/>
    </w:rPr>
  </w:style>
  <w:style w:type="character" w:styleId="af3">
    <w:name w:val="Placeholder Text"/>
    <w:basedOn w:val="a0"/>
    <w:rPr>
      <w:color w:val="808080"/>
    </w:rPr>
  </w:style>
  <w:style w:type="character" w:customStyle="1" w:styleId="Internetlink">
    <w:name w:val="Internet link"/>
    <w:basedOn w:val="a0"/>
    <w:rPr>
      <w:color w:val="0000FF"/>
      <w:u w:val="single"/>
    </w:rPr>
  </w:style>
  <w:style w:type="character" w:styleId="af4">
    <w:name w:val="line number"/>
    <w:basedOn w:val="a0"/>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主旨"/>
    <w:basedOn w:val="Standard"/>
    <w:pPr>
      <w:spacing w:line="500" w:lineRule="exact"/>
    </w:pPr>
    <w:rPr>
      <w:rFonts w:eastAsia="標楷體"/>
      <w:sz w:val="32"/>
    </w:rPr>
  </w:style>
  <w:style w:type="paragraph" w:styleId="a6">
    <w:name w:val="List Paragraph"/>
    <w:basedOn w:val="Standard"/>
    <w:pPr>
      <w:ind w:left="480"/>
    </w:p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Cambria" w:hAnsi="Cambria"/>
      <w:sz w:val="18"/>
      <w:szCs w:val="18"/>
    </w:rPr>
  </w:style>
  <w:style w:type="paragraph" w:styleId="aa">
    <w:name w:val="annotation text"/>
    <w:basedOn w:val="Standard"/>
  </w:style>
  <w:style w:type="paragraph" w:styleId="ab">
    <w:name w:val="annotation subject"/>
    <w:basedOn w:val="aa"/>
    <w:rPr>
      <w:b/>
      <w:bCs/>
    </w:rPr>
  </w:style>
  <w:style w:type="paragraph" w:styleId="3">
    <w:name w:val="Body Text 3"/>
    <w:basedOn w:val="Standard"/>
    <w:pPr>
      <w:spacing w:line="640" w:lineRule="exact"/>
    </w:pPr>
    <w:rPr>
      <w:rFonts w:ascii="標楷體" w:eastAsia="標楷體" w:hAnsi="標楷體"/>
      <w:b/>
      <w:bCs/>
      <w:color w:val="000000"/>
      <w:sz w:val="32"/>
    </w:rPr>
  </w:style>
  <w:style w:type="paragraph" w:customStyle="1" w:styleId="TableContents">
    <w:name w:val="Table Contents"/>
    <w:basedOn w:val="Standard"/>
  </w:style>
  <w:style w:type="character" w:customStyle="1" w:styleId="ac">
    <w:name w:val="頁首 字元"/>
    <w:basedOn w:val="a0"/>
    <w:rPr>
      <w:kern w:val="3"/>
    </w:rPr>
  </w:style>
  <w:style w:type="character" w:customStyle="1" w:styleId="ad">
    <w:name w:val="頁尾 字元"/>
    <w:basedOn w:val="a0"/>
    <w:rPr>
      <w:kern w:val="3"/>
    </w:rPr>
  </w:style>
  <w:style w:type="character" w:customStyle="1" w:styleId="ae">
    <w:name w:val="註解方塊文字 字元"/>
    <w:basedOn w:val="a0"/>
    <w:rPr>
      <w:rFonts w:ascii="Cambria" w:eastAsia="新細明體" w:hAnsi="Cambria" w:cs="Times New Roman"/>
      <w:kern w:val="3"/>
      <w:sz w:val="18"/>
      <w:szCs w:val="18"/>
    </w:rPr>
  </w:style>
  <w:style w:type="character" w:styleId="af">
    <w:name w:val="annotation reference"/>
    <w:basedOn w:val="a0"/>
    <w:rPr>
      <w:sz w:val="18"/>
      <w:szCs w:val="18"/>
    </w:rPr>
  </w:style>
  <w:style w:type="character" w:customStyle="1" w:styleId="af0">
    <w:name w:val="註解文字 字元"/>
    <w:basedOn w:val="a0"/>
    <w:rPr>
      <w:kern w:val="3"/>
      <w:sz w:val="24"/>
      <w:szCs w:val="24"/>
    </w:rPr>
  </w:style>
  <w:style w:type="character" w:customStyle="1" w:styleId="af1">
    <w:name w:val="註解主旨 字元"/>
    <w:basedOn w:val="af0"/>
    <w:rPr>
      <w:b/>
      <w:bCs/>
      <w:kern w:val="3"/>
      <w:sz w:val="24"/>
      <w:szCs w:val="24"/>
    </w:rPr>
  </w:style>
  <w:style w:type="character" w:styleId="af2">
    <w:name w:val="Strong"/>
    <w:rPr>
      <w:b/>
      <w:bCs/>
    </w:rPr>
  </w:style>
  <w:style w:type="character" w:customStyle="1" w:styleId="30">
    <w:name w:val="本文 3 字元"/>
    <w:basedOn w:val="a0"/>
    <w:rPr>
      <w:rFonts w:ascii="標楷體" w:eastAsia="標楷體" w:hAnsi="標楷體"/>
      <w:b/>
      <w:bCs/>
      <w:color w:val="000000"/>
      <w:kern w:val="3"/>
      <w:sz w:val="32"/>
      <w:szCs w:val="24"/>
    </w:rPr>
  </w:style>
  <w:style w:type="character" w:styleId="af3">
    <w:name w:val="Placeholder Text"/>
    <w:basedOn w:val="a0"/>
    <w:rPr>
      <w:color w:val="808080"/>
    </w:rPr>
  </w:style>
  <w:style w:type="character" w:customStyle="1" w:styleId="Internetlink">
    <w:name w:val="Internet link"/>
    <w:basedOn w:val="a0"/>
    <w:rPr>
      <w:color w:val="0000FF"/>
      <w:u w:val="single"/>
    </w:rPr>
  </w:style>
  <w:style w:type="character" w:styleId="af4">
    <w:name w:val="line number"/>
    <w:basedOn w:val="a0"/>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蕭嘉惠</dc:creator>
  <cp:lastModifiedBy>user</cp:lastModifiedBy>
  <cp:revision>1</cp:revision>
  <cp:lastPrinted>2019-03-28T01:20:00Z</cp:lastPrinted>
  <dcterms:created xsi:type="dcterms:W3CDTF">2019-04-16T02:29:00Z</dcterms:created>
  <dcterms:modified xsi:type="dcterms:W3CDTF">2019-04-25T02:05:00Z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