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A4" w:rsidRDefault="00706ABA" w:rsidP="004A2FA4">
      <w:pPr>
        <w:snapToGrid w:val="0"/>
        <w:jc w:val="center"/>
        <w:rPr>
          <w:rFonts w:ascii="標楷體" w:eastAsia="標楷體" w:hAnsi="標楷體"/>
          <w:b/>
          <w:bCs/>
          <w:color w:val="000000"/>
          <w:sz w:val="36"/>
        </w:rPr>
      </w:pPr>
      <w:bookmarkStart w:id="0" w:name="_GoBack"/>
      <w:bookmarkEnd w:id="0"/>
      <w:r w:rsidRPr="00151D96">
        <w:rPr>
          <w:rFonts w:ascii="標楷體" w:eastAsia="標楷體" w:hAnsi="標楷體" w:hint="eastAsia"/>
          <w:b/>
          <w:bCs/>
          <w:color w:val="000000"/>
          <w:sz w:val="36"/>
        </w:rPr>
        <w:t>1</w:t>
      </w:r>
      <w:r w:rsidRPr="00151D96">
        <w:rPr>
          <w:rFonts w:ascii="標楷體" w:eastAsia="標楷體" w:hAnsi="標楷體"/>
          <w:b/>
          <w:bCs/>
          <w:color w:val="000000"/>
          <w:sz w:val="36"/>
        </w:rPr>
        <w:t>0</w:t>
      </w:r>
      <w:r w:rsidRPr="00151D96">
        <w:rPr>
          <w:rFonts w:ascii="標楷體" w:eastAsia="標楷體" w:hAnsi="標楷體" w:hint="eastAsia"/>
          <w:b/>
          <w:bCs/>
          <w:color w:val="000000"/>
          <w:sz w:val="36"/>
        </w:rPr>
        <w:t>7</w:t>
      </w:r>
      <w:r w:rsidRPr="00151D96">
        <w:rPr>
          <w:rFonts w:ascii="標楷體" w:eastAsia="標楷體" w:hAnsi="標楷體"/>
          <w:b/>
          <w:bCs/>
          <w:color w:val="000000"/>
          <w:sz w:val="36"/>
        </w:rPr>
        <w:t>年度</w:t>
      </w:r>
      <w:r w:rsidRPr="00151D96">
        <w:rPr>
          <w:rFonts w:ascii="標楷體" w:eastAsia="標楷體" w:hAnsi="標楷體" w:hint="eastAsia"/>
          <w:b/>
          <w:bCs/>
          <w:color w:val="000000"/>
          <w:sz w:val="36"/>
        </w:rPr>
        <w:t>精進</w:t>
      </w:r>
      <w:r w:rsidRPr="00151D96">
        <w:rPr>
          <w:rFonts w:ascii="標楷體" w:eastAsia="標楷體" w:hAnsi="標楷體"/>
          <w:b/>
          <w:bCs/>
          <w:color w:val="000000"/>
          <w:sz w:val="36"/>
        </w:rPr>
        <w:t>人事</w:t>
      </w:r>
      <w:r w:rsidRPr="00151D96">
        <w:rPr>
          <w:rFonts w:ascii="標楷體" w:eastAsia="標楷體" w:hAnsi="標楷體" w:hint="eastAsia"/>
          <w:b/>
          <w:bCs/>
          <w:color w:val="000000"/>
          <w:sz w:val="36"/>
        </w:rPr>
        <w:t>業務建議獎勵</w:t>
      </w:r>
      <w:r w:rsidRPr="00151D96">
        <w:rPr>
          <w:rFonts w:ascii="標楷體" w:eastAsia="標楷體" w:hAnsi="標楷體"/>
          <w:b/>
          <w:bCs/>
          <w:color w:val="000000"/>
          <w:sz w:val="36"/>
        </w:rPr>
        <w:t>得獎作品</w:t>
      </w:r>
      <w:r w:rsidR="00271123">
        <w:rPr>
          <w:rFonts w:ascii="標楷體" w:eastAsia="標楷體" w:hAnsi="標楷體" w:hint="eastAsia"/>
          <w:b/>
          <w:bCs/>
          <w:color w:val="000000"/>
          <w:sz w:val="36"/>
        </w:rPr>
        <w:t>—</w:t>
      </w:r>
      <w:r w:rsidR="00C703DD">
        <w:rPr>
          <w:rFonts w:ascii="標楷體" w:eastAsia="標楷體" w:hAnsi="標楷體" w:hint="eastAsia"/>
          <w:b/>
          <w:bCs/>
          <w:color w:val="000000"/>
          <w:sz w:val="36"/>
        </w:rPr>
        <w:t>可</w:t>
      </w:r>
      <w:r w:rsidR="004A2FA4">
        <w:rPr>
          <w:rFonts w:ascii="標楷體" w:eastAsia="標楷體" w:hAnsi="標楷體" w:hint="eastAsia"/>
          <w:b/>
          <w:bCs/>
          <w:color w:val="000000"/>
          <w:sz w:val="36"/>
        </w:rPr>
        <w:t>供各機關參考之</w:t>
      </w:r>
      <w:r w:rsidRPr="00151D96">
        <w:rPr>
          <w:rFonts w:ascii="標楷體" w:eastAsia="標楷體" w:hAnsi="標楷體"/>
          <w:b/>
          <w:bCs/>
          <w:color w:val="000000"/>
          <w:sz w:val="36"/>
        </w:rPr>
        <w:t>建議事項</w:t>
      </w:r>
      <w:r w:rsidRPr="00151D96">
        <w:rPr>
          <w:rFonts w:ascii="標楷體" w:eastAsia="標楷體" w:hAnsi="標楷體" w:hint="eastAsia"/>
          <w:b/>
          <w:bCs/>
          <w:color w:val="000000"/>
          <w:sz w:val="36"/>
        </w:rPr>
        <w:t>一覽</w:t>
      </w:r>
      <w:r w:rsidRPr="00151D96">
        <w:rPr>
          <w:rFonts w:ascii="標楷體" w:eastAsia="標楷體" w:hAnsi="標楷體"/>
          <w:b/>
          <w:bCs/>
          <w:color w:val="000000"/>
          <w:sz w:val="36"/>
        </w:rPr>
        <w:t>表</w:t>
      </w:r>
    </w:p>
    <w:tbl>
      <w:tblPr>
        <w:tblStyle w:val="a3"/>
        <w:tblW w:w="0" w:type="auto"/>
        <w:tblLook w:val="04A0" w:firstRow="1" w:lastRow="0" w:firstColumn="1" w:lastColumn="0" w:noHBand="0" w:noVBand="1"/>
      </w:tblPr>
      <w:tblGrid>
        <w:gridCol w:w="675"/>
        <w:gridCol w:w="14517"/>
      </w:tblGrid>
      <w:tr w:rsidR="004A2FA4" w:rsidRPr="00151D96" w:rsidTr="00B976F9">
        <w:trPr>
          <w:tblHeader/>
        </w:trPr>
        <w:tc>
          <w:tcPr>
            <w:tcW w:w="675" w:type="dxa"/>
            <w:tcBorders>
              <w:top w:val="single" w:sz="12" w:space="0" w:color="auto"/>
              <w:left w:val="single" w:sz="12" w:space="0" w:color="auto"/>
            </w:tcBorders>
            <w:shd w:val="clear" w:color="auto" w:fill="FBD4B4" w:themeFill="accent6" w:themeFillTint="66"/>
            <w:vAlign w:val="center"/>
          </w:tcPr>
          <w:p w:rsidR="004A2FA4" w:rsidRPr="00151D96" w:rsidRDefault="004A2FA4" w:rsidP="00E6745F">
            <w:pPr>
              <w:snapToGrid w:val="0"/>
              <w:spacing w:line="340" w:lineRule="exact"/>
              <w:jc w:val="center"/>
              <w:rPr>
                <w:rFonts w:ascii="標楷體" w:eastAsia="標楷體" w:hAnsi="標楷體"/>
                <w:b/>
                <w:bCs/>
                <w:color w:val="000000"/>
                <w:sz w:val="28"/>
                <w:szCs w:val="28"/>
              </w:rPr>
            </w:pPr>
            <w:r w:rsidRPr="00151D96">
              <w:rPr>
                <w:rFonts w:ascii="標楷體" w:eastAsia="標楷體" w:hAnsi="標楷體" w:hint="eastAsia"/>
                <w:b/>
                <w:bCs/>
                <w:color w:val="000000"/>
                <w:sz w:val="28"/>
                <w:szCs w:val="28"/>
              </w:rPr>
              <w:t>序號</w:t>
            </w:r>
          </w:p>
        </w:tc>
        <w:tc>
          <w:tcPr>
            <w:tcW w:w="14517" w:type="dxa"/>
            <w:tcBorders>
              <w:top w:val="single" w:sz="12" w:space="0" w:color="auto"/>
              <w:right w:val="single" w:sz="12" w:space="0" w:color="auto"/>
            </w:tcBorders>
            <w:shd w:val="clear" w:color="auto" w:fill="FBD4B4" w:themeFill="accent6" w:themeFillTint="66"/>
            <w:vAlign w:val="center"/>
          </w:tcPr>
          <w:p w:rsidR="004A2FA4" w:rsidRPr="00151D96" w:rsidRDefault="004A2FA4" w:rsidP="00E6745F">
            <w:pPr>
              <w:snapToGrid w:val="0"/>
              <w:spacing w:line="340" w:lineRule="exact"/>
              <w:jc w:val="distribute"/>
              <w:rPr>
                <w:rFonts w:ascii="標楷體" w:eastAsia="標楷體" w:hAnsi="標楷體"/>
                <w:b/>
                <w:bCs/>
                <w:color w:val="000000"/>
                <w:sz w:val="28"/>
                <w:szCs w:val="28"/>
              </w:rPr>
            </w:pPr>
            <w:r w:rsidRPr="00151D96">
              <w:rPr>
                <w:rFonts w:ascii="標楷體" w:eastAsia="標楷體" w:hAnsi="標楷體"/>
                <w:b/>
                <w:bCs/>
                <w:sz w:val="28"/>
                <w:szCs w:val="28"/>
              </w:rPr>
              <w:t>建議事項摘要</w:t>
            </w:r>
          </w:p>
        </w:tc>
      </w:tr>
      <w:tr w:rsidR="00756410" w:rsidRPr="00151D96" w:rsidTr="00756410">
        <w:tc>
          <w:tcPr>
            <w:tcW w:w="15192" w:type="dxa"/>
            <w:gridSpan w:val="2"/>
            <w:tcBorders>
              <w:left w:val="single" w:sz="12" w:space="0" w:color="auto"/>
              <w:right w:val="single" w:sz="12" w:space="0" w:color="auto"/>
            </w:tcBorders>
            <w:shd w:val="clear" w:color="auto" w:fill="D9D9D9" w:themeFill="background1" w:themeFillShade="D9"/>
          </w:tcPr>
          <w:p w:rsidR="00756410" w:rsidRPr="00151D96" w:rsidRDefault="00756410" w:rsidP="00E6745F">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008C7DD5">
              <w:rPr>
                <w:rFonts w:ascii="標楷體" w:eastAsia="標楷體" w:hAnsi="標楷體" w:hint="eastAsia"/>
                <w:b/>
                <w:sz w:val="28"/>
                <w:szCs w:val="28"/>
              </w:rPr>
              <w:t>5</w:t>
            </w:r>
          </w:p>
          <w:p w:rsidR="00756410" w:rsidRPr="00151D96" w:rsidRDefault="00756410" w:rsidP="008C026D">
            <w:pPr>
              <w:snapToGrid w:val="0"/>
              <w:spacing w:line="340" w:lineRule="exact"/>
              <w:jc w:val="both"/>
              <w:rPr>
                <w:rFonts w:ascii="標楷體" w:eastAsia="標楷體" w:hAnsi="標楷體"/>
                <w:b/>
                <w:bCs/>
                <w:color w:val="000000"/>
                <w:sz w:val="28"/>
                <w:szCs w:val="28"/>
              </w:rPr>
            </w:pPr>
            <w:r w:rsidRPr="00151D96">
              <w:rPr>
                <w:rFonts w:ascii="標楷體" w:eastAsia="標楷體" w:hAnsi="標楷體"/>
                <w:b/>
                <w:sz w:val="28"/>
                <w:szCs w:val="28"/>
              </w:rPr>
              <w:t>作品名稱：</w:t>
            </w:r>
            <w:r w:rsidR="008C026D" w:rsidRPr="008C026D">
              <w:rPr>
                <w:rFonts w:ascii="標楷體" w:eastAsia="標楷體" w:hAnsi="標楷體" w:hint="eastAsia"/>
                <w:b/>
                <w:sz w:val="28"/>
                <w:szCs w:val="28"/>
              </w:rPr>
              <w:t>公務職場環境功績化程度及滿意度初探─以106年行政院人事行政總處辦理公務人員職場評價調查結果為例</w:t>
            </w:r>
          </w:p>
        </w:tc>
      </w:tr>
      <w:tr w:rsidR="008C7DD5" w:rsidRPr="00151D96" w:rsidTr="00487F01">
        <w:tc>
          <w:tcPr>
            <w:tcW w:w="675" w:type="dxa"/>
            <w:tcBorders>
              <w:left w:val="single" w:sz="12" w:space="0" w:color="auto"/>
            </w:tcBorders>
          </w:tcPr>
          <w:p w:rsidR="008C7DD5" w:rsidRPr="00151D96" w:rsidRDefault="008C7DD5"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8C7DD5" w:rsidRPr="008C7DD5" w:rsidRDefault="008C7DD5" w:rsidP="005924C4">
            <w:pPr>
              <w:numPr>
                <w:ilvl w:val="0"/>
                <w:numId w:val="3"/>
              </w:numPr>
              <w:adjustRightInd w:val="0"/>
              <w:snapToGrid w:val="0"/>
              <w:spacing w:line="340" w:lineRule="exact"/>
              <w:ind w:left="561" w:hangingChars="200" w:hanging="561"/>
              <w:jc w:val="both"/>
              <w:rPr>
                <w:rFonts w:ascii="標楷體" w:eastAsia="標楷體" w:hAnsi="標楷體"/>
                <w:b/>
                <w:kern w:val="0"/>
                <w:sz w:val="28"/>
                <w:szCs w:val="28"/>
              </w:rPr>
            </w:pPr>
            <w:r w:rsidRPr="008C7DD5">
              <w:rPr>
                <w:rFonts w:ascii="標楷體" w:eastAsia="標楷體" w:hAnsi="標楷體" w:hint="eastAsia"/>
                <w:b/>
                <w:kern w:val="0"/>
                <w:sz w:val="28"/>
                <w:szCs w:val="28"/>
              </w:rPr>
              <w:t>強化年齡較輕、年資較淺同仁對於工作職場之適應力：</w:t>
            </w:r>
            <w:r w:rsidRPr="008C7DD5">
              <w:rPr>
                <w:rFonts w:ascii="標楷體" w:eastAsia="標楷體" w:hAnsi="標楷體" w:hint="eastAsia"/>
                <w:kern w:val="0"/>
                <w:sz w:val="28"/>
                <w:szCs w:val="28"/>
              </w:rPr>
              <w:t>藉由變異數檢定（</w:t>
            </w:r>
            <w:r w:rsidRPr="008C7DD5">
              <w:rPr>
                <w:rFonts w:ascii="標楷體" w:eastAsia="標楷體" w:hAnsi="標楷體"/>
                <w:kern w:val="0"/>
                <w:sz w:val="28"/>
                <w:szCs w:val="28"/>
              </w:rPr>
              <w:t>ANOVA</w:t>
            </w:r>
            <w:r w:rsidRPr="008C7DD5">
              <w:rPr>
                <w:rFonts w:ascii="標楷體" w:eastAsia="標楷體" w:hAnsi="標楷體" w:hint="eastAsia"/>
                <w:kern w:val="0"/>
                <w:sz w:val="28"/>
                <w:szCs w:val="28"/>
              </w:rPr>
              <w:t>）檢定及相關性檢定發現，是類條件之受訪者較有表示工作壓力與倦怠的傾向，且對於陞遷機會認同度低，工作亦較缺乏熱情，或無意願為完成工作付出額外的努力，及缺乏對工作挑戰的期待，考量這類同仁通常是機關內部的新血，故建議機關可設計如師徒制等之相關輔導制度，以多元化之激勵方式，來提升同仁於工作上的自我認知，以促進工作績效與自我實現。</w:t>
            </w:r>
          </w:p>
        </w:tc>
      </w:tr>
      <w:tr w:rsidR="008C7DD5" w:rsidRPr="00151D96" w:rsidTr="00487F01">
        <w:tc>
          <w:tcPr>
            <w:tcW w:w="675" w:type="dxa"/>
            <w:tcBorders>
              <w:left w:val="single" w:sz="12" w:space="0" w:color="auto"/>
            </w:tcBorders>
          </w:tcPr>
          <w:p w:rsidR="008C7DD5" w:rsidRPr="00151D96" w:rsidRDefault="008C7DD5"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8C7DD5" w:rsidRPr="008C7DD5" w:rsidRDefault="008C7DD5" w:rsidP="005924C4">
            <w:pPr>
              <w:numPr>
                <w:ilvl w:val="0"/>
                <w:numId w:val="3"/>
              </w:numPr>
              <w:adjustRightInd w:val="0"/>
              <w:snapToGrid w:val="0"/>
              <w:spacing w:line="340" w:lineRule="exact"/>
              <w:ind w:left="561" w:hangingChars="200" w:hanging="561"/>
              <w:jc w:val="both"/>
              <w:rPr>
                <w:rFonts w:ascii="標楷體" w:eastAsia="標楷體" w:hAnsi="標楷體"/>
                <w:b/>
                <w:kern w:val="0"/>
                <w:sz w:val="28"/>
                <w:szCs w:val="28"/>
              </w:rPr>
            </w:pPr>
            <w:r w:rsidRPr="008C7DD5">
              <w:rPr>
                <w:rFonts w:ascii="標楷體" w:eastAsia="標楷體" w:hAnsi="標楷體" w:hint="eastAsia"/>
                <w:b/>
                <w:kern w:val="0"/>
                <w:sz w:val="28"/>
                <w:szCs w:val="28"/>
              </w:rPr>
              <w:t>精進非簡任、非主管、年資較淺、年齡較輕之公務同仁工作內容的豐富化</w:t>
            </w:r>
            <w:r w:rsidRPr="008C7DD5">
              <w:rPr>
                <w:rFonts w:ascii="標楷體" w:eastAsia="標楷體" w:hAnsi="標楷體" w:hint="eastAsia"/>
                <w:kern w:val="0"/>
                <w:sz w:val="28"/>
                <w:szCs w:val="28"/>
              </w:rPr>
              <w:t>：整體而言，經由差異性檢定發現簡任及擔任</w:t>
            </w:r>
            <w:r w:rsidRPr="008C7DD5">
              <w:rPr>
                <w:rFonts w:ascii="標楷體" w:eastAsia="標楷體" w:hAnsi="標楷體"/>
                <w:kern w:val="0"/>
                <w:sz w:val="28"/>
                <w:szCs w:val="28"/>
              </w:rPr>
              <w:t>主管職務之受訪者認同感較高，且年資愈長、年齡愈大之受訪者愈</w:t>
            </w:r>
            <w:r w:rsidRPr="008C7DD5">
              <w:rPr>
                <w:rFonts w:ascii="標楷體" w:eastAsia="標楷體" w:hAnsi="標楷體" w:hint="eastAsia"/>
                <w:kern w:val="0"/>
                <w:sz w:val="28"/>
                <w:szCs w:val="28"/>
              </w:rPr>
              <w:t>滿意，相較下不具前開特性的受訪者較不認同工作環境是健康的，因而對離開現職至其他機關應徵的意願也相對高，是以，未來可針對薦任及委任、非主管、年資較淺、年齡較輕者，研議</w:t>
            </w:r>
            <w:r w:rsidRPr="008C7DD5">
              <w:rPr>
                <w:rFonts w:ascii="標楷體" w:eastAsia="標楷體" w:hAnsi="標楷體"/>
                <w:kern w:val="0"/>
                <w:sz w:val="28"/>
                <w:szCs w:val="28"/>
              </w:rPr>
              <w:t>增加</w:t>
            </w:r>
            <w:r w:rsidRPr="008C7DD5">
              <w:rPr>
                <w:rFonts w:ascii="標楷體" w:eastAsia="標楷體" w:hAnsi="標楷體" w:hint="eastAsia"/>
                <w:kern w:val="0"/>
                <w:sz w:val="28"/>
                <w:szCs w:val="28"/>
              </w:rPr>
              <w:t>其</w:t>
            </w:r>
            <w:r w:rsidRPr="008C7DD5">
              <w:rPr>
                <w:rFonts w:ascii="標楷體" w:eastAsia="標楷體" w:hAnsi="標楷體"/>
                <w:kern w:val="0"/>
                <w:sz w:val="28"/>
                <w:szCs w:val="28"/>
              </w:rPr>
              <w:t>工作內容豐富化、多樣性</w:t>
            </w:r>
            <w:r w:rsidRPr="008C7DD5">
              <w:rPr>
                <w:rFonts w:ascii="標楷體" w:eastAsia="標楷體" w:hAnsi="標楷體" w:hint="eastAsia"/>
                <w:kern w:val="0"/>
                <w:sz w:val="28"/>
                <w:szCs w:val="28"/>
              </w:rPr>
              <w:t>及</w:t>
            </w:r>
            <w:r w:rsidRPr="008C7DD5">
              <w:rPr>
                <w:rFonts w:ascii="標楷體" w:eastAsia="標楷體" w:hAnsi="標楷體"/>
                <w:kern w:val="0"/>
                <w:sz w:val="28"/>
                <w:szCs w:val="28"/>
              </w:rPr>
              <w:t>挑戰性</w:t>
            </w:r>
            <w:r w:rsidRPr="008C7DD5">
              <w:rPr>
                <w:rFonts w:ascii="標楷體" w:eastAsia="標楷體" w:hAnsi="標楷體" w:hint="eastAsia"/>
                <w:kern w:val="0"/>
                <w:sz w:val="28"/>
                <w:szCs w:val="28"/>
              </w:rPr>
              <w:t>，或規劃職務輪調機制，以提升渠等</w:t>
            </w:r>
            <w:r w:rsidRPr="008C7DD5">
              <w:rPr>
                <w:rFonts w:ascii="標楷體" w:eastAsia="標楷體" w:hAnsi="標楷體"/>
                <w:kern w:val="0"/>
                <w:sz w:val="28"/>
                <w:szCs w:val="28"/>
              </w:rPr>
              <w:t>工作成就感</w:t>
            </w:r>
            <w:r w:rsidRPr="008C7DD5">
              <w:rPr>
                <w:rFonts w:ascii="標楷體" w:eastAsia="標楷體" w:hAnsi="標楷體" w:hint="eastAsia"/>
                <w:kern w:val="0"/>
                <w:sz w:val="28"/>
                <w:szCs w:val="28"/>
              </w:rPr>
              <w:t>及強化對工作環境健康的認同感</w:t>
            </w:r>
            <w:r w:rsidRPr="008C7DD5">
              <w:rPr>
                <w:rFonts w:ascii="標楷體" w:eastAsia="標楷體" w:hAnsi="標楷體"/>
                <w:kern w:val="0"/>
                <w:sz w:val="28"/>
                <w:szCs w:val="28"/>
              </w:rPr>
              <w:t>。</w:t>
            </w:r>
          </w:p>
        </w:tc>
      </w:tr>
      <w:tr w:rsidR="008C7DD5" w:rsidRPr="00151D96" w:rsidTr="00487F01">
        <w:tc>
          <w:tcPr>
            <w:tcW w:w="675" w:type="dxa"/>
            <w:tcBorders>
              <w:left w:val="single" w:sz="12" w:space="0" w:color="auto"/>
            </w:tcBorders>
          </w:tcPr>
          <w:p w:rsidR="008C7DD5" w:rsidRPr="00151D96" w:rsidRDefault="008C7DD5"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8C7DD5" w:rsidRPr="008C7DD5" w:rsidRDefault="008C7DD5" w:rsidP="005924C4">
            <w:pPr>
              <w:numPr>
                <w:ilvl w:val="0"/>
                <w:numId w:val="3"/>
              </w:numPr>
              <w:adjustRightInd w:val="0"/>
              <w:snapToGrid w:val="0"/>
              <w:spacing w:line="340" w:lineRule="exact"/>
              <w:ind w:left="561" w:hangingChars="200" w:hanging="561"/>
              <w:jc w:val="both"/>
              <w:rPr>
                <w:rFonts w:ascii="標楷體" w:eastAsia="標楷體" w:hAnsi="標楷體"/>
                <w:b/>
                <w:kern w:val="0"/>
                <w:sz w:val="28"/>
                <w:szCs w:val="28"/>
              </w:rPr>
            </w:pPr>
            <w:r w:rsidRPr="00151D96">
              <w:rPr>
                <w:rFonts w:ascii="標楷體" w:eastAsia="標楷體" w:hAnsi="標楷體" w:hint="eastAsia"/>
                <w:b/>
                <w:color w:val="000000" w:themeColor="text1"/>
                <w:sz w:val="28"/>
                <w:szCs w:val="28"/>
              </w:rPr>
              <w:t>提高中央機關與地方政府公務同仁之交流</w:t>
            </w:r>
            <w:r w:rsidRPr="00151D96">
              <w:rPr>
                <w:rFonts w:ascii="標楷體" w:eastAsia="標楷體" w:hAnsi="標楷體" w:hint="eastAsia"/>
                <w:color w:val="000000" w:themeColor="text1"/>
                <w:sz w:val="28"/>
                <w:szCs w:val="28"/>
              </w:rPr>
              <w:t>：依據機關型態進行</w:t>
            </w:r>
            <w:r w:rsidRPr="00151D96">
              <w:rPr>
                <w:rFonts w:ascii="標楷體" w:eastAsia="標楷體" w:hAnsi="標楷體"/>
                <w:color w:val="000000" w:themeColor="text1"/>
                <w:sz w:val="28"/>
                <w:szCs w:val="28"/>
              </w:rPr>
              <w:t>獨立樣本t檢定</w:t>
            </w:r>
            <w:r w:rsidRPr="00151D96">
              <w:rPr>
                <w:rFonts w:ascii="標楷體" w:eastAsia="標楷體" w:hAnsi="標楷體" w:hint="eastAsia"/>
                <w:color w:val="000000" w:themeColor="text1"/>
                <w:sz w:val="28"/>
                <w:szCs w:val="28"/>
              </w:rPr>
              <w:t>之結果，可得知中央機關同仁在工作適合度等次構面之相關題項中，較地方政府同仁認同度更高，而地方政府同仁的離職傾向及工作壓力與倦怠則較高，但卻認為自己陞遷機會比中央機關來的高，這可能表示中央機關整體而言工作環境較為安定，制度穩定性也高，而地方機關可能因為民選首長政策或民眾期許，工作壓力較大，但同時能見度較高，易獲得陞遷機會；是以，中央機關與地方政府同仁間似應適時增加互動之機會，讓不同的組織制度或文化進行交流，帶來改變與創新。</w:t>
            </w:r>
          </w:p>
        </w:tc>
      </w:tr>
      <w:tr w:rsidR="008C7DD5" w:rsidRPr="00151D96" w:rsidTr="008C7DD5">
        <w:tc>
          <w:tcPr>
            <w:tcW w:w="15192" w:type="dxa"/>
            <w:gridSpan w:val="2"/>
            <w:tcBorders>
              <w:left w:val="single" w:sz="12" w:space="0" w:color="auto"/>
              <w:right w:val="single" w:sz="12" w:space="0" w:color="auto"/>
            </w:tcBorders>
            <w:shd w:val="clear" w:color="auto" w:fill="D9D9D9" w:themeFill="background1" w:themeFillShade="D9"/>
          </w:tcPr>
          <w:p w:rsidR="008C7DD5" w:rsidRPr="00151D96" w:rsidRDefault="008C7DD5" w:rsidP="008C7DD5">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Pr="00151D96">
              <w:rPr>
                <w:rFonts w:ascii="標楷體" w:eastAsia="標楷體" w:hAnsi="標楷體" w:hint="eastAsia"/>
                <w:b/>
                <w:sz w:val="28"/>
                <w:szCs w:val="28"/>
              </w:rPr>
              <w:t>12</w:t>
            </w:r>
          </w:p>
          <w:p w:rsidR="008C7DD5" w:rsidRPr="00151D96" w:rsidRDefault="008C7DD5" w:rsidP="008C7DD5">
            <w:pPr>
              <w:adjustRightInd w:val="0"/>
              <w:snapToGrid w:val="0"/>
              <w:spacing w:line="340" w:lineRule="exact"/>
              <w:jc w:val="both"/>
              <w:rPr>
                <w:rFonts w:ascii="標楷體" w:eastAsia="標楷體" w:hAnsi="標楷體"/>
                <w:b/>
                <w:kern w:val="0"/>
                <w:sz w:val="28"/>
                <w:szCs w:val="28"/>
              </w:rPr>
            </w:pPr>
            <w:r w:rsidRPr="00151D96">
              <w:rPr>
                <w:rFonts w:ascii="標楷體" w:eastAsia="標楷體" w:hAnsi="標楷體"/>
                <w:b/>
                <w:sz w:val="28"/>
                <w:szCs w:val="28"/>
              </w:rPr>
              <w:t>作品名稱：</w:t>
            </w:r>
            <w:r w:rsidRPr="00151D96">
              <w:rPr>
                <w:rFonts w:ascii="標楷體" w:eastAsia="標楷體" w:hAnsi="標楷體" w:hint="eastAsia"/>
                <w:b/>
                <w:sz w:val="28"/>
                <w:szCs w:val="28"/>
              </w:rPr>
              <w:t>行政院所屬各級人事機構合併設置之探討</w:t>
            </w:r>
          </w:p>
        </w:tc>
      </w:tr>
      <w:tr w:rsidR="004A2FA4" w:rsidRPr="00151D96" w:rsidTr="00487F01">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8C7DD5" w:rsidRPr="008C7DD5" w:rsidRDefault="004A2FA4" w:rsidP="005924C4">
            <w:pPr>
              <w:numPr>
                <w:ilvl w:val="0"/>
                <w:numId w:val="13"/>
              </w:numPr>
              <w:adjustRightInd w:val="0"/>
              <w:snapToGrid w:val="0"/>
              <w:spacing w:line="340" w:lineRule="exact"/>
              <w:ind w:left="561" w:hangingChars="200" w:hanging="561"/>
              <w:jc w:val="both"/>
              <w:rPr>
                <w:rFonts w:ascii="標楷體" w:eastAsia="標楷體" w:hAnsi="標楷體"/>
                <w:kern w:val="0"/>
                <w:sz w:val="28"/>
                <w:szCs w:val="28"/>
              </w:rPr>
            </w:pPr>
            <w:r w:rsidRPr="00151D96">
              <w:rPr>
                <w:rFonts w:ascii="標楷體" w:eastAsia="標楷體" w:hAnsi="標楷體" w:hint="eastAsia"/>
                <w:b/>
                <w:kern w:val="0"/>
                <w:sz w:val="28"/>
                <w:szCs w:val="28"/>
              </w:rPr>
              <w:t>調整實體人事</w:t>
            </w:r>
            <w:r w:rsidRPr="00151D96">
              <w:rPr>
                <w:rFonts w:ascii="標楷體" w:eastAsia="標楷體" w:hAnsi="標楷體" w:hint="eastAsia"/>
                <w:b/>
                <w:noProof/>
                <w:color w:val="000000"/>
                <w:sz w:val="28"/>
                <w:szCs w:val="28"/>
                <w:lang w:eastAsia="zh-HK"/>
              </w:rPr>
              <w:t>機構</w:t>
            </w:r>
            <w:r w:rsidRPr="00151D96">
              <w:rPr>
                <w:rFonts w:ascii="標楷體" w:eastAsia="標楷體" w:hAnsi="標楷體" w:hint="eastAsia"/>
                <w:noProof/>
                <w:color w:val="000000"/>
                <w:sz w:val="28"/>
                <w:szCs w:val="28"/>
              </w:rPr>
              <w:t>：</w:t>
            </w:r>
          </w:p>
          <w:p w:rsidR="004A2FA4" w:rsidRPr="004A2FA4" w:rsidRDefault="004A2FA4" w:rsidP="005924C4">
            <w:pPr>
              <w:numPr>
                <w:ilvl w:val="0"/>
                <w:numId w:val="11"/>
              </w:numPr>
              <w:snapToGrid w:val="0"/>
              <w:spacing w:line="340" w:lineRule="exact"/>
              <w:ind w:left="841" w:hangingChars="300" w:hanging="841"/>
              <w:jc w:val="both"/>
              <w:rPr>
                <w:rFonts w:ascii="標楷體" w:eastAsia="標楷體" w:hAnsi="標楷體"/>
                <w:b/>
                <w:bCs/>
                <w:color w:val="000000"/>
                <w:sz w:val="28"/>
                <w:szCs w:val="28"/>
              </w:rPr>
            </w:pPr>
            <w:r w:rsidRPr="004A2FA4">
              <w:rPr>
                <w:rFonts w:ascii="標楷體" w:eastAsia="標楷體" w:hAnsi="標楷體" w:hint="eastAsia"/>
                <w:b/>
                <w:kern w:val="0"/>
                <w:sz w:val="28"/>
                <w:szCs w:val="28"/>
              </w:rPr>
              <w:t>設立人事業務客服中心</w:t>
            </w:r>
            <w:r w:rsidRPr="004A2FA4">
              <w:rPr>
                <w:rFonts w:ascii="標楷體" w:eastAsia="標楷體" w:hAnsi="標楷體" w:hint="eastAsia"/>
                <w:kern w:val="0"/>
                <w:sz w:val="28"/>
                <w:szCs w:val="28"/>
              </w:rPr>
              <w:t>：建議在不增加各主管機關人事機構及所屬專任人事員額的原則下，於人事處內設立「人事業務客服中心」，並由人事處副處長負責客服中心業務指揮監督，以發揮人事業務統合綜效。</w:t>
            </w:r>
          </w:p>
        </w:tc>
      </w:tr>
      <w:tr w:rsidR="00756410" w:rsidRPr="00151D96" w:rsidTr="00756410">
        <w:tc>
          <w:tcPr>
            <w:tcW w:w="15192" w:type="dxa"/>
            <w:gridSpan w:val="2"/>
            <w:tcBorders>
              <w:left w:val="single" w:sz="12" w:space="0" w:color="auto"/>
              <w:right w:val="single" w:sz="12" w:space="0" w:color="auto"/>
            </w:tcBorders>
            <w:shd w:val="clear" w:color="auto" w:fill="D9D9D9" w:themeFill="background1" w:themeFillShade="D9"/>
          </w:tcPr>
          <w:p w:rsidR="00756410" w:rsidRPr="00151D96" w:rsidRDefault="00756410" w:rsidP="00E6745F">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Pr="00151D96">
              <w:rPr>
                <w:rFonts w:ascii="標楷體" w:eastAsia="標楷體" w:hAnsi="標楷體" w:hint="eastAsia"/>
                <w:b/>
                <w:sz w:val="28"/>
                <w:szCs w:val="28"/>
              </w:rPr>
              <w:t>13</w:t>
            </w:r>
          </w:p>
          <w:p w:rsidR="00756410" w:rsidRPr="00151D96" w:rsidRDefault="00756410" w:rsidP="00E6745F">
            <w:pPr>
              <w:snapToGrid w:val="0"/>
              <w:spacing w:line="340" w:lineRule="exact"/>
              <w:jc w:val="both"/>
              <w:rPr>
                <w:rFonts w:ascii="標楷體" w:eastAsia="標楷體" w:hAnsi="標楷體"/>
                <w:b/>
                <w:bCs/>
                <w:color w:val="000000"/>
                <w:sz w:val="28"/>
                <w:szCs w:val="28"/>
              </w:rPr>
            </w:pPr>
            <w:r w:rsidRPr="00151D96">
              <w:rPr>
                <w:rFonts w:ascii="標楷體" w:eastAsia="標楷體" w:hAnsi="標楷體"/>
                <w:b/>
                <w:sz w:val="28"/>
                <w:szCs w:val="28"/>
              </w:rPr>
              <w:t>作品名稱：</w:t>
            </w:r>
            <w:r w:rsidRPr="00151D96">
              <w:rPr>
                <w:rFonts w:ascii="標楷體" w:eastAsia="標楷體" w:hAnsi="標楷體" w:hint="eastAsia"/>
                <w:b/>
                <w:sz w:val="28"/>
                <w:szCs w:val="28"/>
              </w:rPr>
              <w:t>從育嬰留職停薪者觀點開啟員工協助的幸福方程式－員工留停、關懷不停</w:t>
            </w:r>
          </w:p>
        </w:tc>
      </w:tr>
      <w:tr w:rsidR="004A2FA4" w:rsidRPr="00151D96" w:rsidTr="00A243E0">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4A2FA4" w:rsidRPr="00151D96" w:rsidRDefault="004A2FA4" w:rsidP="005924C4">
            <w:pPr>
              <w:numPr>
                <w:ilvl w:val="0"/>
                <w:numId w:val="4"/>
              </w:numPr>
              <w:adjustRightInd w:val="0"/>
              <w:snapToGrid w:val="0"/>
              <w:spacing w:line="340" w:lineRule="exact"/>
              <w:ind w:left="561" w:hangingChars="200" w:hanging="561"/>
              <w:jc w:val="both"/>
              <w:rPr>
                <w:rFonts w:ascii="標楷體" w:eastAsia="標楷體" w:hAnsi="標楷體"/>
                <w:kern w:val="0"/>
                <w:sz w:val="28"/>
                <w:szCs w:val="28"/>
              </w:rPr>
            </w:pPr>
            <w:r w:rsidRPr="00151D96">
              <w:rPr>
                <w:rFonts w:ascii="標楷體" w:eastAsia="標楷體" w:hAnsi="標楷體" w:hint="eastAsia"/>
                <w:b/>
                <w:kern w:val="0"/>
                <w:sz w:val="28"/>
                <w:szCs w:val="28"/>
              </w:rPr>
              <w:t>面對留職停薪同仁不同層面需求之解決方式</w:t>
            </w:r>
          </w:p>
          <w:p w:rsidR="004A2FA4" w:rsidRPr="00151D96" w:rsidRDefault="004A2FA4" w:rsidP="005924C4">
            <w:pPr>
              <w:numPr>
                <w:ilvl w:val="0"/>
                <w:numId w:val="12"/>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kern w:val="0"/>
                <w:sz w:val="28"/>
                <w:szCs w:val="28"/>
              </w:rPr>
              <w:t>育嬰留職停薪相關權益宣導</w:t>
            </w:r>
            <w:r w:rsidRPr="00151D96">
              <w:rPr>
                <w:rFonts w:ascii="標楷體" w:eastAsia="標楷體" w:hAnsi="標楷體" w:hint="eastAsia"/>
                <w:kern w:val="0"/>
                <w:sz w:val="28"/>
                <w:szCs w:val="28"/>
              </w:rPr>
              <w:t>：除了法規面保障愈臻完整，應主動告知育嬰留職停薪相關權益，使其明白其權益之得失，作為申請育嬰留職停薪的決定參考，也可減輕申請者的徬徨與無助感。包含可全額補繳退撫基金避免退休年資中斷之影響、對於養育三足歲以下子女可提出育嬰留職停薪申請、育嬰留職停薪津貼給付等項目。</w:t>
            </w:r>
          </w:p>
          <w:p w:rsidR="004A2FA4" w:rsidRPr="00151D96" w:rsidRDefault="004A2FA4" w:rsidP="005924C4">
            <w:pPr>
              <w:numPr>
                <w:ilvl w:val="0"/>
                <w:numId w:val="12"/>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kern w:val="0"/>
                <w:sz w:val="28"/>
                <w:szCs w:val="28"/>
              </w:rPr>
              <w:t>建議主動關懷員工的狀況</w:t>
            </w:r>
            <w:r w:rsidRPr="00151D96">
              <w:rPr>
                <w:rFonts w:ascii="標楷體" w:eastAsia="標楷體" w:hAnsi="標楷體" w:hint="eastAsia"/>
                <w:kern w:val="0"/>
                <w:sz w:val="28"/>
                <w:szCs w:val="28"/>
              </w:rPr>
              <w:t>：除了讓同仁被</w:t>
            </w:r>
            <w:r w:rsidRPr="00151D96">
              <w:rPr>
                <w:rFonts w:ascii="標楷體" w:eastAsia="標楷體" w:hAnsi="標楷體"/>
                <w:kern w:val="0"/>
                <w:sz w:val="28"/>
                <w:szCs w:val="28"/>
              </w:rPr>
              <w:t>動求助</w:t>
            </w:r>
            <w:r w:rsidRPr="00151D96">
              <w:rPr>
                <w:rFonts w:ascii="標楷體" w:eastAsia="標楷體" w:hAnsi="標楷體" w:hint="eastAsia"/>
                <w:kern w:val="0"/>
                <w:sz w:val="28"/>
                <w:szCs w:val="28"/>
              </w:rPr>
              <w:t>外，人事機構亦可主動協助其直屬主管與該名員工進行工作行為面談。</w:t>
            </w:r>
          </w:p>
          <w:p w:rsidR="004A2FA4" w:rsidRPr="00151D96" w:rsidRDefault="004A2FA4" w:rsidP="005924C4">
            <w:pPr>
              <w:numPr>
                <w:ilvl w:val="0"/>
                <w:numId w:val="12"/>
              </w:numPr>
              <w:snapToGrid w:val="0"/>
              <w:spacing w:line="340" w:lineRule="exact"/>
              <w:ind w:left="841" w:hangingChars="300" w:hanging="841"/>
              <w:jc w:val="both"/>
              <w:rPr>
                <w:rFonts w:ascii="標楷體" w:eastAsia="標楷體" w:hAnsi="標楷體"/>
                <w:b/>
                <w:kern w:val="0"/>
                <w:sz w:val="28"/>
                <w:szCs w:val="28"/>
              </w:rPr>
            </w:pPr>
            <w:r w:rsidRPr="00151D96">
              <w:rPr>
                <w:rFonts w:ascii="標楷體" w:eastAsia="標楷體" w:hAnsi="標楷體" w:hint="eastAsia"/>
                <w:b/>
                <w:kern w:val="0"/>
                <w:sz w:val="28"/>
                <w:szCs w:val="28"/>
              </w:rPr>
              <w:t>針對同仁的育兒共通性需求辦理活動</w:t>
            </w:r>
            <w:r w:rsidRPr="00151D96">
              <w:rPr>
                <w:rFonts w:ascii="標楷體" w:eastAsia="標楷體" w:hAnsi="標楷體" w:hint="eastAsia"/>
                <w:kern w:val="0"/>
                <w:sz w:val="28"/>
                <w:szCs w:val="28"/>
              </w:rPr>
              <w:t>：協助育嬰留職停薪同仁，對其關切的議題如照顧幼兒壓力調適、情緒管理、幼兒醫療保健等，邀請講座分享，提供幼兒照顧基本協助，可滿足其安全方面的需求。</w:t>
            </w:r>
          </w:p>
          <w:p w:rsidR="004A2FA4" w:rsidRPr="004A2FA4" w:rsidRDefault="004A2FA4" w:rsidP="005924C4">
            <w:pPr>
              <w:numPr>
                <w:ilvl w:val="0"/>
                <w:numId w:val="12"/>
              </w:numPr>
              <w:snapToGrid w:val="0"/>
              <w:spacing w:line="340" w:lineRule="exact"/>
              <w:ind w:left="841" w:hangingChars="300" w:hanging="841"/>
              <w:jc w:val="both"/>
              <w:rPr>
                <w:rFonts w:ascii="標楷體" w:eastAsia="標楷體" w:hAnsi="標楷體"/>
                <w:b/>
                <w:kern w:val="0"/>
                <w:sz w:val="28"/>
                <w:szCs w:val="28"/>
              </w:rPr>
            </w:pPr>
            <w:r w:rsidRPr="00151D96">
              <w:rPr>
                <w:rFonts w:ascii="標楷體" w:eastAsia="標楷體" w:hAnsi="標楷體" w:hint="eastAsia"/>
                <w:b/>
                <w:kern w:val="0"/>
                <w:sz w:val="28"/>
                <w:szCs w:val="28"/>
              </w:rPr>
              <w:t>翻轉「男主外女主內」觀念</w:t>
            </w:r>
            <w:r w:rsidRPr="00151D96">
              <w:rPr>
                <w:rFonts w:ascii="標楷體" w:eastAsia="標楷體" w:hAnsi="標楷體" w:hint="eastAsia"/>
                <w:kern w:val="0"/>
                <w:sz w:val="28"/>
                <w:szCs w:val="28"/>
              </w:rPr>
              <w:t>：留職停薪措施係為了減輕員工在工作上及家庭上之壓力，使其能專心照顧家庭及子女，因此除了推展育嬰留職停薪外，也應鼓勵男性公務人員育嬰留停，甚至在未來可同時放寬「父母雙方」同時申請育嬰留職停薪的可能，畢竟小孩的成長僅有一次。</w:t>
            </w:r>
          </w:p>
          <w:p w:rsidR="004A2FA4" w:rsidRPr="004A2FA4" w:rsidRDefault="004A2FA4" w:rsidP="005924C4">
            <w:pPr>
              <w:numPr>
                <w:ilvl w:val="0"/>
                <w:numId w:val="12"/>
              </w:numPr>
              <w:snapToGrid w:val="0"/>
              <w:spacing w:line="340" w:lineRule="exact"/>
              <w:ind w:left="841" w:hangingChars="300" w:hanging="841"/>
              <w:jc w:val="both"/>
              <w:rPr>
                <w:rFonts w:ascii="標楷體" w:eastAsia="標楷體" w:hAnsi="標楷體"/>
                <w:b/>
                <w:kern w:val="0"/>
                <w:sz w:val="28"/>
                <w:szCs w:val="28"/>
              </w:rPr>
            </w:pPr>
            <w:r w:rsidRPr="004A2FA4">
              <w:rPr>
                <w:rFonts w:ascii="標楷體" w:eastAsia="標楷體" w:hAnsi="標楷體" w:hint="eastAsia"/>
                <w:b/>
                <w:kern w:val="0"/>
                <w:sz w:val="28"/>
                <w:szCs w:val="28"/>
              </w:rPr>
              <w:t>留停期間持續將機關訊息傳遞並邀集參加機關文康性質活動</w:t>
            </w:r>
            <w:r w:rsidRPr="004A2FA4">
              <w:rPr>
                <w:rFonts w:ascii="標楷體" w:eastAsia="標楷體" w:hAnsi="標楷體" w:hint="eastAsia"/>
                <w:kern w:val="0"/>
                <w:sz w:val="28"/>
                <w:szCs w:val="28"/>
              </w:rPr>
              <w:t>：在員工留停期間，透過即時通訊軟體，仍持續將機關相關訊息（如：內部刊物、相關訊息…等）持續發送給留停員工，以維持對於機關轉變的訊息；也可以邀請留停員工參與機關的文康聯誼活動（如：慶生日、尾牙…等），維持同事間的人際熟悉度。</w:t>
            </w:r>
          </w:p>
        </w:tc>
      </w:tr>
      <w:tr w:rsidR="004A2FA4" w:rsidRPr="00151D96" w:rsidTr="004A2FA4">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4A2FA4" w:rsidRPr="00151D96" w:rsidRDefault="004A2FA4" w:rsidP="005924C4">
            <w:pPr>
              <w:numPr>
                <w:ilvl w:val="0"/>
                <w:numId w:val="4"/>
              </w:numPr>
              <w:adjustRightInd w:val="0"/>
              <w:snapToGrid w:val="0"/>
              <w:spacing w:line="340" w:lineRule="exact"/>
              <w:ind w:left="561" w:hangingChars="200" w:hanging="561"/>
              <w:jc w:val="both"/>
              <w:rPr>
                <w:rFonts w:ascii="標楷體" w:eastAsia="標楷體" w:hAnsi="標楷體"/>
                <w:kern w:val="0"/>
                <w:sz w:val="28"/>
                <w:szCs w:val="28"/>
              </w:rPr>
            </w:pPr>
            <w:r w:rsidRPr="00151D96">
              <w:rPr>
                <w:rFonts w:ascii="標楷體" w:eastAsia="標楷體" w:hAnsi="標楷體" w:hint="eastAsia"/>
                <w:b/>
                <w:kern w:val="0"/>
                <w:sz w:val="28"/>
                <w:szCs w:val="28"/>
              </w:rPr>
              <w:t>機關面對留職停薪措施之人力因應及配置方式</w:t>
            </w:r>
          </w:p>
          <w:p w:rsidR="004A2FA4" w:rsidRPr="004A2FA4" w:rsidRDefault="004A2FA4" w:rsidP="005924C4">
            <w:pPr>
              <w:numPr>
                <w:ilvl w:val="0"/>
                <w:numId w:val="5"/>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kern w:val="0"/>
                <w:sz w:val="28"/>
                <w:szCs w:val="28"/>
              </w:rPr>
              <w:t>職務代理制度的落實</w:t>
            </w:r>
            <w:r w:rsidRPr="00151D96">
              <w:rPr>
                <w:rFonts w:ascii="標楷體" w:eastAsia="標楷體" w:hAnsi="標楷體" w:hint="eastAsia"/>
                <w:kern w:val="0"/>
                <w:sz w:val="28"/>
                <w:szCs w:val="28"/>
              </w:rPr>
              <w:t>：面對留職停薪期間所遺職務，由現職人員或約僱人力代理。若由現職人員代理，可事先協助現職人員實施「工作輪調」，建立互為代理的機制；若為約僱人力可建立「約僱人力資料庫」，作為臨時或短期人力調度之用，減少人力資源衝擊。</w:t>
            </w:r>
          </w:p>
          <w:p w:rsidR="004A2FA4" w:rsidRPr="00151D96" w:rsidRDefault="004A2FA4" w:rsidP="005924C4">
            <w:pPr>
              <w:numPr>
                <w:ilvl w:val="0"/>
                <w:numId w:val="5"/>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kern w:val="0"/>
                <w:sz w:val="28"/>
                <w:szCs w:val="28"/>
              </w:rPr>
              <w:t>實施相關復職教育訓練</w:t>
            </w:r>
            <w:r w:rsidRPr="00151D96">
              <w:rPr>
                <w:rFonts w:ascii="標楷體" w:eastAsia="標楷體" w:hAnsi="標楷體" w:hint="eastAsia"/>
                <w:kern w:val="0"/>
                <w:sz w:val="28"/>
                <w:szCs w:val="28"/>
              </w:rPr>
              <w:t>：隨著申請「育嬰留停」的同仁人數越來越多，如何協助他們在留職停薪結束後順利重返職場，成為機關一項重</w:t>
            </w:r>
            <w:r>
              <w:rPr>
                <w:rFonts w:ascii="標楷體" w:eastAsia="標楷體" w:hAnsi="標楷體" w:hint="eastAsia"/>
                <w:kern w:val="0"/>
                <w:sz w:val="28"/>
                <w:szCs w:val="28"/>
              </w:rPr>
              <w:t>要的工作。機關應該「視復職者如同新人」一般，有計畫的協助其重新瞭</w:t>
            </w:r>
            <w:r w:rsidRPr="00151D96">
              <w:rPr>
                <w:rFonts w:ascii="標楷體" w:eastAsia="標楷體" w:hAnsi="標楷體" w:hint="eastAsia"/>
                <w:kern w:val="0"/>
                <w:sz w:val="28"/>
                <w:szCs w:val="28"/>
              </w:rPr>
              <w:t>解與適應機關的人、事、物。實施相關教育訓練。</w:t>
            </w:r>
          </w:p>
          <w:p w:rsidR="004A2FA4" w:rsidRDefault="004A2FA4" w:rsidP="005924C4">
            <w:pPr>
              <w:numPr>
                <w:ilvl w:val="0"/>
                <w:numId w:val="5"/>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kern w:val="0"/>
                <w:sz w:val="28"/>
                <w:szCs w:val="28"/>
              </w:rPr>
              <w:t>回職復薪工作不調整</w:t>
            </w:r>
            <w:r w:rsidRPr="00151D96">
              <w:rPr>
                <w:rFonts w:ascii="標楷體" w:eastAsia="標楷體" w:hAnsi="標楷體" w:hint="eastAsia"/>
                <w:kern w:val="0"/>
                <w:sz w:val="28"/>
                <w:szCs w:val="28"/>
              </w:rPr>
              <w:t>：面對育嬰留職停薪同仁復職適應之問題？短期間可將回職復薪者的工作不調整，減少工作不適應的情況。</w:t>
            </w:r>
          </w:p>
          <w:p w:rsidR="004A2FA4" w:rsidRPr="00595539" w:rsidRDefault="004A2FA4" w:rsidP="005924C4">
            <w:pPr>
              <w:numPr>
                <w:ilvl w:val="0"/>
                <w:numId w:val="5"/>
              </w:numPr>
              <w:snapToGrid w:val="0"/>
              <w:spacing w:line="340" w:lineRule="exact"/>
              <w:ind w:left="841" w:hangingChars="300" w:hanging="841"/>
              <w:jc w:val="both"/>
              <w:rPr>
                <w:rFonts w:ascii="標楷體" w:eastAsia="標楷體" w:hAnsi="標楷體"/>
                <w:kern w:val="0"/>
                <w:sz w:val="28"/>
                <w:szCs w:val="28"/>
              </w:rPr>
            </w:pPr>
            <w:r w:rsidRPr="004A2FA4">
              <w:rPr>
                <w:rFonts w:ascii="標楷體" w:eastAsia="標楷體" w:hAnsi="標楷體" w:hint="eastAsia"/>
                <w:b/>
                <w:kern w:val="0"/>
                <w:sz w:val="28"/>
                <w:szCs w:val="28"/>
              </w:rPr>
              <w:t>復職心理建設</w:t>
            </w:r>
            <w:r w:rsidRPr="004A2FA4">
              <w:rPr>
                <w:rFonts w:ascii="標楷體" w:eastAsia="標楷體" w:hAnsi="標楷體" w:hint="eastAsia"/>
                <w:kern w:val="0"/>
                <w:sz w:val="28"/>
                <w:szCs w:val="28"/>
              </w:rPr>
              <w:t>：機關可站在復職員工心理轉變的立場思考，協助解決工作與家庭間掙扎的情況，若有需求，可同時協助轉介至相關EAPs，安排個人諮詢（商），導入專業資源協助。</w:t>
            </w:r>
          </w:p>
        </w:tc>
      </w:tr>
      <w:tr w:rsidR="004A2FA4" w:rsidRPr="00151D96" w:rsidTr="00C0687E">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4A2FA4" w:rsidRPr="00151D96" w:rsidRDefault="004A2FA4" w:rsidP="005924C4">
            <w:pPr>
              <w:numPr>
                <w:ilvl w:val="0"/>
                <w:numId w:val="4"/>
              </w:numPr>
              <w:adjustRightInd w:val="0"/>
              <w:snapToGrid w:val="0"/>
              <w:spacing w:line="340" w:lineRule="exact"/>
              <w:ind w:left="561" w:hangingChars="200" w:hanging="561"/>
              <w:jc w:val="both"/>
              <w:rPr>
                <w:rFonts w:ascii="標楷體" w:eastAsia="標楷體" w:hAnsi="標楷體"/>
                <w:kern w:val="0"/>
                <w:sz w:val="28"/>
                <w:szCs w:val="28"/>
              </w:rPr>
            </w:pPr>
            <w:r w:rsidRPr="00151D96">
              <w:rPr>
                <w:rFonts w:ascii="標楷體" w:eastAsia="標楷體" w:hAnsi="標楷體" w:hint="eastAsia"/>
                <w:b/>
                <w:kern w:val="0"/>
                <w:sz w:val="28"/>
                <w:szCs w:val="28"/>
              </w:rPr>
              <w:t>資源共享</w:t>
            </w:r>
            <w:r w:rsidRPr="00151D96">
              <w:rPr>
                <w:rFonts w:ascii="標楷體" w:eastAsia="標楷體" w:hAnsi="標楷體" w:hint="eastAsia"/>
                <w:kern w:val="0"/>
                <w:sz w:val="28"/>
                <w:szCs w:val="28"/>
              </w:rPr>
              <w:t>：</w:t>
            </w:r>
          </w:p>
          <w:p w:rsidR="004A2FA4" w:rsidRPr="004A2FA4" w:rsidRDefault="004A2FA4" w:rsidP="005924C4">
            <w:pPr>
              <w:numPr>
                <w:ilvl w:val="0"/>
                <w:numId w:val="6"/>
              </w:numPr>
              <w:snapToGrid w:val="0"/>
              <w:spacing w:line="340" w:lineRule="exact"/>
              <w:ind w:left="841" w:hangingChars="300" w:hanging="841"/>
              <w:jc w:val="both"/>
              <w:rPr>
                <w:rFonts w:ascii="標楷體" w:eastAsia="標楷體" w:hAnsi="標楷體"/>
                <w:bCs/>
                <w:kern w:val="0"/>
                <w:sz w:val="28"/>
                <w:szCs w:val="28"/>
              </w:rPr>
            </w:pPr>
            <w:r w:rsidRPr="00151D96">
              <w:rPr>
                <w:rFonts w:ascii="標楷體" w:eastAsia="標楷體" w:hAnsi="標楷體" w:hint="eastAsia"/>
                <w:b/>
                <w:kern w:val="0"/>
                <w:sz w:val="28"/>
                <w:szCs w:val="28"/>
              </w:rPr>
              <w:t>跨縣市提供幼兒基本的安全照顧</w:t>
            </w:r>
            <w:r w:rsidRPr="00151D96">
              <w:rPr>
                <w:rFonts w:ascii="標楷體" w:eastAsia="標楷體" w:hAnsi="標楷體" w:hint="eastAsia"/>
                <w:kern w:val="0"/>
                <w:sz w:val="28"/>
                <w:szCs w:val="28"/>
              </w:rPr>
              <w:t>：除了以特約或設置的方式，與專業合格的嬰幼兒照顧機構合作外，亦可採跨縣市的資源合作模式，去中心化，可解決「跨縣市工作」的同仁得以返回家鄉實施育嬰，也能獲得機關的奧援。</w:t>
            </w:r>
          </w:p>
        </w:tc>
      </w:tr>
      <w:tr w:rsidR="006E2C9F" w:rsidRPr="00151D96" w:rsidTr="00756410">
        <w:tc>
          <w:tcPr>
            <w:tcW w:w="15192" w:type="dxa"/>
            <w:gridSpan w:val="2"/>
            <w:tcBorders>
              <w:left w:val="single" w:sz="12" w:space="0" w:color="auto"/>
              <w:right w:val="single" w:sz="12" w:space="0" w:color="auto"/>
            </w:tcBorders>
            <w:shd w:val="clear" w:color="auto" w:fill="D9D9D9" w:themeFill="background1" w:themeFillShade="D9"/>
          </w:tcPr>
          <w:p w:rsidR="006E2C9F" w:rsidRPr="00151D96" w:rsidRDefault="006E2C9F" w:rsidP="00E6745F">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Pr="00151D96">
              <w:rPr>
                <w:rFonts w:ascii="標楷體" w:eastAsia="標楷體" w:hAnsi="標楷體" w:hint="eastAsia"/>
                <w:b/>
                <w:sz w:val="28"/>
                <w:szCs w:val="28"/>
              </w:rPr>
              <w:t>14</w:t>
            </w:r>
          </w:p>
          <w:p w:rsidR="006E2C9F" w:rsidRPr="00151D96" w:rsidRDefault="006E2C9F" w:rsidP="00E6745F">
            <w:pPr>
              <w:snapToGrid w:val="0"/>
              <w:spacing w:line="340" w:lineRule="exact"/>
              <w:jc w:val="both"/>
              <w:rPr>
                <w:rFonts w:ascii="標楷體" w:eastAsia="標楷體" w:hAnsi="標楷體"/>
                <w:b/>
                <w:bCs/>
                <w:color w:val="000000"/>
                <w:sz w:val="28"/>
                <w:szCs w:val="28"/>
              </w:rPr>
            </w:pPr>
            <w:r w:rsidRPr="00151D96">
              <w:rPr>
                <w:rFonts w:ascii="標楷體" w:eastAsia="標楷體" w:hAnsi="標楷體"/>
                <w:b/>
                <w:sz w:val="28"/>
                <w:szCs w:val="28"/>
              </w:rPr>
              <w:t>作品名稱：</w:t>
            </w:r>
            <w:r w:rsidRPr="00151D96">
              <w:rPr>
                <w:rFonts w:ascii="標楷體" w:eastAsia="標楷體" w:hAnsi="標楷體" w:hint="eastAsia"/>
                <w:b/>
                <w:sz w:val="28"/>
                <w:szCs w:val="28"/>
              </w:rPr>
              <w:t>翻轉公務心學習</w:t>
            </w:r>
          </w:p>
        </w:tc>
      </w:tr>
      <w:tr w:rsidR="004A2FA4" w:rsidRPr="00151D96" w:rsidTr="00745CF8">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4A2FA4" w:rsidRPr="004A2FA4" w:rsidRDefault="004A2FA4" w:rsidP="005924C4">
            <w:pPr>
              <w:numPr>
                <w:ilvl w:val="0"/>
                <w:numId w:val="8"/>
              </w:numPr>
              <w:adjustRightInd w:val="0"/>
              <w:snapToGrid w:val="0"/>
              <w:spacing w:line="340" w:lineRule="exact"/>
              <w:ind w:left="561" w:hangingChars="200" w:hanging="561"/>
              <w:jc w:val="both"/>
              <w:rPr>
                <w:rFonts w:ascii="標楷體" w:eastAsia="標楷體" w:hAnsi="標楷體"/>
                <w:b/>
                <w:bCs/>
                <w:color w:val="000000"/>
                <w:sz w:val="32"/>
              </w:rPr>
            </w:pPr>
            <w:r w:rsidRPr="00151D96">
              <w:rPr>
                <w:rFonts w:ascii="標楷體" w:eastAsia="標楷體" w:hAnsi="標楷體" w:hint="eastAsia"/>
                <w:b/>
                <w:kern w:val="0"/>
                <w:sz w:val="28"/>
                <w:szCs w:val="28"/>
              </w:rPr>
              <w:t>獎勵措施制定</w:t>
            </w:r>
            <w:r w:rsidRPr="00151D96">
              <w:rPr>
                <w:rFonts w:ascii="標楷體" w:eastAsia="標楷體" w:hAnsi="標楷體" w:hint="eastAsia"/>
                <w:kern w:val="0"/>
                <w:sz w:val="28"/>
                <w:szCs w:val="28"/>
              </w:rPr>
              <w:t>：制定如「服務獎章」制度之獎勵措施，獎勵建議分成三等第，使用者在每等第都需配合使用靜態課程與動態課程中的數位工具進行學習，再依完成時數所符合的等第給予獎勵與獎金。</w:t>
            </w:r>
          </w:p>
        </w:tc>
      </w:tr>
      <w:tr w:rsidR="006E2C9F" w:rsidRPr="00151D96" w:rsidTr="00756410">
        <w:tc>
          <w:tcPr>
            <w:tcW w:w="15192" w:type="dxa"/>
            <w:gridSpan w:val="2"/>
            <w:tcBorders>
              <w:left w:val="single" w:sz="12" w:space="0" w:color="auto"/>
              <w:right w:val="single" w:sz="12" w:space="0" w:color="auto"/>
            </w:tcBorders>
            <w:shd w:val="clear" w:color="auto" w:fill="D9D9D9" w:themeFill="background1" w:themeFillShade="D9"/>
          </w:tcPr>
          <w:p w:rsidR="006E2C9F" w:rsidRPr="00151D96" w:rsidRDefault="006E2C9F" w:rsidP="00E6745F">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Pr="00151D96">
              <w:rPr>
                <w:rFonts w:ascii="標楷體" w:eastAsia="標楷體" w:hAnsi="標楷體" w:hint="eastAsia"/>
                <w:b/>
                <w:sz w:val="28"/>
                <w:szCs w:val="28"/>
              </w:rPr>
              <w:t>15</w:t>
            </w:r>
          </w:p>
          <w:p w:rsidR="006E2C9F" w:rsidRPr="00151D96" w:rsidRDefault="006E2C9F" w:rsidP="00E6745F">
            <w:pPr>
              <w:snapToGrid w:val="0"/>
              <w:spacing w:line="340" w:lineRule="exact"/>
              <w:jc w:val="both"/>
              <w:rPr>
                <w:rFonts w:ascii="標楷體" w:eastAsia="標楷體" w:hAnsi="標楷體"/>
                <w:b/>
                <w:bCs/>
                <w:color w:val="000000"/>
                <w:sz w:val="28"/>
                <w:szCs w:val="28"/>
              </w:rPr>
            </w:pPr>
            <w:r w:rsidRPr="00151D96">
              <w:rPr>
                <w:rFonts w:ascii="標楷體" w:eastAsia="標楷體" w:hAnsi="標楷體"/>
                <w:b/>
                <w:sz w:val="28"/>
                <w:szCs w:val="28"/>
              </w:rPr>
              <w:t>作品名稱：</w:t>
            </w:r>
            <w:r w:rsidRPr="00151D96">
              <w:rPr>
                <w:rFonts w:ascii="標楷體" w:eastAsia="標楷體" w:hAnsi="標楷體" w:hint="eastAsia"/>
                <w:b/>
                <w:sz w:val="28"/>
                <w:szCs w:val="28"/>
              </w:rPr>
              <w:t>優化學習網站，推動終身學習更EASY</w:t>
            </w:r>
          </w:p>
        </w:tc>
      </w:tr>
      <w:tr w:rsidR="004A2FA4" w:rsidRPr="00151D96" w:rsidTr="00024270">
        <w:tc>
          <w:tcPr>
            <w:tcW w:w="675" w:type="dxa"/>
            <w:tcBorders>
              <w:left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right w:val="single" w:sz="12" w:space="0" w:color="auto"/>
            </w:tcBorders>
          </w:tcPr>
          <w:p w:rsidR="004A2FA4" w:rsidRPr="004A2FA4" w:rsidRDefault="004A2FA4" w:rsidP="005924C4">
            <w:pPr>
              <w:numPr>
                <w:ilvl w:val="0"/>
                <w:numId w:val="9"/>
              </w:numPr>
              <w:adjustRightInd w:val="0"/>
              <w:snapToGrid w:val="0"/>
              <w:spacing w:line="340" w:lineRule="exact"/>
              <w:ind w:left="561" w:hangingChars="200" w:hanging="561"/>
              <w:jc w:val="both"/>
              <w:rPr>
                <w:rFonts w:ascii="標楷體" w:eastAsia="標楷體" w:hAnsi="標楷體"/>
                <w:kern w:val="0"/>
                <w:sz w:val="28"/>
                <w:szCs w:val="28"/>
              </w:rPr>
            </w:pPr>
            <w:r w:rsidRPr="00151D96">
              <w:rPr>
                <w:rFonts w:ascii="標楷體" w:eastAsia="標楷體" w:hAnsi="標楷體" w:hint="eastAsia"/>
                <w:b/>
                <w:kern w:val="0"/>
                <w:sz w:val="28"/>
                <w:szCs w:val="28"/>
              </w:rPr>
              <w:t>強化應用APP功能推廣數位學習</w:t>
            </w:r>
            <w:r w:rsidRPr="00151D96">
              <w:rPr>
                <w:rFonts w:ascii="標楷體" w:eastAsia="標楷體" w:hAnsi="標楷體" w:hint="eastAsia"/>
                <w:kern w:val="0"/>
                <w:sz w:val="28"/>
                <w:szCs w:val="28"/>
              </w:rPr>
              <w:t>：「e等公務園+學習平臺」為了讓學習型態更為多元，除了上千門數位學習課程之外，還包含了SPOC、MOOCs、微學習、直播課程。現在更積極推動可用行動載具</w:t>
            </w:r>
            <w:r>
              <w:rPr>
                <w:rFonts w:ascii="標楷體" w:eastAsia="標楷體" w:hAnsi="標楷體" w:hint="eastAsia"/>
                <w:kern w:val="0"/>
                <w:sz w:val="28"/>
                <w:szCs w:val="28"/>
              </w:rPr>
              <w:t>（</w:t>
            </w:r>
            <w:r w:rsidRPr="00151D96">
              <w:rPr>
                <w:rFonts w:ascii="標楷體" w:eastAsia="標楷體" w:hAnsi="標楷體" w:hint="eastAsia"/>
                <w:kern w:val="0"/>
                <w:sz w:val="28"/>
                <w:szCs w:val="28"/>
              </w:rPr>
              <w:t>如手機或平板</w:t>
            </w:r>
            <w:r>
              <w:rPr>
                <w:rFonts w:ascii="標楷體" w:eastAsia="標楷體" w:hAnsi="標楷體" w:hint="eastAsia"/>
                <w:kern w:val="0"/>
                <w:sz w:val="28"/>
                <w:szCs w:val="28"/>
              </w:rPr>
              <w:t>）</w:t>
            </w:r>
            <w:r w:rsidRPr="00151D96">
              <w:rPr>
                <w:rFonts w:ascii="標楷體" w:eastAsia="標楷體" w:hAnsi="標楷體" w:hint="eastAsia"/>
                <w:kern w:val="0"/>
                <w:sz w:val="28"/>
                <w:szCs w:val="28"/>
              </w:rPr>
              <w:t>下載「e等公務園+學習平臺」的APP來做學習，建議其他相關學習網站也可跟進，使用手機APP做數位學習。</w:t>
            </w:r>
          </w:p>
        </w:tc>
      </w:tr>
      <w:tr w:rsidR="006E2C9F" w:rsidRPr="00151D96" w:rsidTr="00756410">
        <w:tc>
          <w:tcPr>
            <w:tcW w:w="15192" w:type="dxa"/>
            <w:gridSpan w:val="2"/>
            <w:tcBorders>
              <w:left w:val="single" w:sz="12" w:space="0" w:color="auto"/>
              <w:right w:val="single" w:sz="12" w:space="0" w:color="auto"/>
            </w:tcBorders>
            <w:shd w:val="clear" w:color="auto" w:fill="D9D9D9" w:themeFill="background1" w:themeFillShade="D9"/>
          </w:tcPr>
          <w:p w:rsidR="006E2C9F" w:rsidRPr="00151D96" w:rsidRDefault="006E2C9F" w:rsidP="00E6745F">
            <w:pPr>
              <w:snapToGrid w:val="0"/>
              <w:spacing w:line="340" w:lineRule="exact"/>
              <w:jc w:val="both"/>
              <w:rPr>
                <w:rFonts w:ascii="標楷體" w:eastAsia="標楷體" w:hAnsi="標楷體"/>
                <w:b/>
                <w:sz w:val="28"/>
                <w:szCs w:val="28"/>
              </w:rPr>
            </w:pPr>
            <w:r w:rsidRPr="00151D96">
              <w:rPr>
                <w:rFonts w:ascii="標楷體" w:eastAsia="標楷體" w:hAnsi="標楷體"/>
                <w:b/>
                <w:sz w:val="28"/>
                <w:szCs w:val="28"/>
              </w:rPr>
              <w:t>編號：</w:t>
            </w:r>
            <w:r w:rsidRPr="00151D96">
              <w:rPr>
                <w:rFonts w:ascii="標楷體" w:eastAsia="標楷體" w:hAnsi="標楷體" w:hint="eastAsia"/>
                <w:b/>
                <w:sz w:val="28"/>
                <w:szCs w:val="28"/>
              </w:rPr>
              <w:t>21</w:t>
            </w:r>
          </w:p>
          <w:p w:rsidR="006E2C9F" w:rsidRPr="00151D96" w:rsidRDefault="006E2C9F" w:rsidP="00E6745F">
            <w:pPr>
              <w:snapToGrid w:val="0"/>
              <w:spacing w:line="340" w:lineRule="exact"/>
              <w:jc w:val="both"/>
              <w:rPr>
                <w:rFonts w:ascii="標楷體" w:eastAsia="標楷體" w:hAnsi="標楷體"/>
                <w:b/>
                <w:bCs/>
                <w:color w:val="000000"/>
                <w:sz w:val="28"/>
                <w:szCs w:val="28"/>
              </w:rPr>
            </w:pPr>
            <w:r w:rsidRPr="00151D96">
              <w:rPr>
                <w:rFonts w:ascii="標楷體" w:eastAsia="標楷體" w:hAnsi="標楷體"/>
                <w:b/>
                <w:sz w:val="28"/>
                <w:szCs w:val="28"/>
              </w:rPr>
              <w:t>作品名稱：</w:t>
            </w:r>
            <w:r w:rsidRPr="00151D96">
              <w:rPr>
                <w:rFonts w:ascii="標楷體" w:eastAsia="標楷體" w:hAnsi="標楷體" w:hint="eastAsia"/>
                <w:b/>
                <w:sz w:val="28"/>
                <w:szCs w:val="28"/>
              </w:rPr>
              <w:t>數位學習再進化─虛實之間，AR與VR應用之探析</w:t>
            </w:r>
          </w:p>
        </w:tc>
      </w:tr>
      <w:tr w:rsidR="004A2FA4" w:rsidRPr="00151D96" w:rsidTr="005F0BED">
        <w:tc>
          <w:tcPr>
            <w:tcW w:w="675" w:type="dxa"/>
            <w:tcBorders>
              <w:left w:val="single" w:sz="12" w:space="0" w:color="auto"/>
              <w:bottom w:val="single" w:sz="12" w:space="0" w:color="auto"/>
            </w:tcBorders>
          </w:tcPr>
          <w:p w:rsidR="004A2FA4" w:rsidRPr="00151D96" w:rsidRDefault="004A2FA4" w:rsidP="005924C4">
            <w:pPr>
              <w:pStyle w:val="a8"/>
              <w:numPr>
                <w:ilvl w:val="0"/>
                <w:numId w:val="2"/>
              </w:numPr>
              <w:snapToGrid w:val="0"/>
              <w:spacing w:line="340" w:lineRule="exact"/>
              <w:ind w:leftChars="100" w:left="240" w:firstLine="0"/>
              <w:jc w:val="both"/>
              <w:rPr>
                <w:rFonts w:ascii="標楷體" w:eastAsia="標楷體" w:hAnsi="標楷體"/>
                <w:b/>
                <w:bCs/>
                <w:color w:val="000000"/>
                <w:sz w:val="28"/>
                <w:szCs w:val="28"/>
              </w:rPr>
            </w:pPr>
          </w:p>
        </w:tc>
        <w:tc>
          <w:tcPr>
            <w:tcW w:w="14517" w:type="dxa"/>
            <w:tcBorders>
              <w:bottom w:val="single" w:sz="12" w:space="0" w:color="auto"/>
              <w:right w:val="single" w:sz="12" w:space="0" w:color="auto"/>
            </w:tcBorders>
          </w:tcPr>
          <w:p w:rsidR="004A2FA4" w:rsidRPr="008A0B74" w:rsidRDefault="004A2FA4" w:rsidP="005924C4">
            <w:pPr>
              <w:numPr>
                <w:ilvl w:val="0"/>
                <w:numId w:val="10"/>
              </w:numPr>
              <w:adjustRightInd w:val="0"/>
              <w:snapToGrid w:val="0"/>
              <w:spacing w:line="340" w:lineRule="exact"/>
              <w:ind w:left="561" w:hangingChars="200" w:hanging="561"/>
              <w:jc w:val="both"/>
              <w:rPr>
                <w:rFonts w:ascii="標楷體" w:eastAsia="標楷體" w:hAnsi="標楷體"/>
                <w:color w:val="000000" w:themeColor="text1"/>
                <w:kern w:val="0"/>
                <w:sz w:val="28"/>
                <w:szCs w:val="28"/>
              </w:rPr>
            </w:pPr>
            <w:r w:rsidRPr="00151D96">
              <w:rPr>
                <w:rFonts w:ascii="標楷體" w:eastAsia="標楷體" w:hAnsi="標楷體" w:hint="eastAsia"/>
                <w:b/>
                <w:color w:val="000000" w:themeColor="text1"/>
                <w:kern w:val="0"/>
                <w:sz w:val="28"/>
                <w:szCs w:val="28"/>
              </w:rPr>
              <w:t>具體</w:t>
            </w:r>
            <w:r w:rsidRPr="006F24D3">
              <w:rPr>
                <w:rFonts w:ascii="標楷體" w:eastAsia="標楷體" w:hAnsi="標楷體" w:hint="eastAsia"/>
                <w:b/>
                <w:color w:val="000000" w:themeColor="text1"/>
                <w:kern w:val="0"/>
                <w:sz w:val="28"/>
                <w:szCs w:val="28"/>
              </w:rPr>
              <w:t>建議</w:t>
            </w:r>
            <w:r w:rsidRPr="00151D96">
              <w:rPr>
                <w:rFonts w:ascii="標楷體" w:eastAsia="標楷體" w:hAnsi="標楷體" w:hint="eastAsia"/>
                <w:b/>
                <w:color w:val="000000" w:themeColor="text1"/>
                <w:kern w:val="0"/>
                <w:sz w:val="28"/>
                <w:szCs w:val="28"/>
              </w:rPr>
              <w:t>AR或VR之課程</w:t>
            </w:r>
            <w:r w:rsidRPr="00151D96">
              <w:rPr>
                <w:rFonts w:ascii="標楷體" w:eastAsia="標楷體" w:hAnsi="標楷體" w:hint="eastAsia"/>
                <w:color w:val="000000" w:themeColor="text1"/>
                <w:kern w:val="0"/>
                <w:sz w:val="28"/>
                <w:szCs w:val="28"/>
              </w:rPr>
              <w:t>：</w:t>
            </w:r>
          </w:p>
          <w:p w:rsidR="004A2FA4" w:rsidRPr="00151D96" w:rsidRDefault="004A2FA4" w:rsidP="005924C4">
            <w:pPr>
              <w:numPr>
                <w:ilvl w:val="0"/>
                <w:numId w:val="7"/>
              </w:numPr>
              <w:snapToGrid w:val="0"/>
              <w:spacing w:line="340" w:lineRule="exact"/>
              <w:ind w:left="841" w:hangingChars="300" w:hanging="841"/>
              <w:jc w:val="both"/>
              <w:rPr>
                <w:rFonts w:ascii="標楷體" w:eastAsia="標楷體" w:hAnsi="標楷體"/>
                <w:color w:val="000000" w:themeColor="text1"/>
                <w:kern w:val="0"/>
                <w:sz w:val="28"/>
                <w:szCs w:val="28"/>
              </w:rPr>
            </w:pPr>
            <w:r w:rsidRPr="00151D96">
              <w:rPr>
                <w:rFonts w:ascii="標楷體" w:eastAsia="標楷體" w:hAnsi="標楷體" w:hint="eastAsia"/>
                <w:b/>
                <w:color w:val="000000" w:themeColor="text1"/>
                <w:kern w:val="0"/>
                <w:sz w:val="28"/>
                <w:szCs w:val="28"/>
              </w:rPr>
              <w:t>防災訓練類課程－火災逃生訓練課程</w:t>
            </w:r>
            <w:r w:rsidRPr="00151D96">
              <w:rPr>
                <w:rFonts w:ascii="標楷體" w:eastAsia="標楷體" w:hAnsi="標楷體" w:hint="eastAsia"/>
                <w:color w:val="000000" w:themeColor="text1"/>
                <w:kern w:val="0"/>
                <w:sz w:val="28"/>
                <w:szCs w:val="28"/>
              </w:rPr>
              <w:t>：這類課程建議採以AR方式辦理。試辦單位可由地方政府進行招標採購，並由市政府自身建築或擇定各所屬區中一個代表性機關學校，甚或直接以區公所作為試辦點。由得標廠商針對試辦點進行軟體課程設計，待完成並驗收後，指定試辦周邊單位聯合舉辦課程體驗。學員學習後立即應用軟體所設計的實境測驗，判斷學習成效，並輔以原有的線上填寫問卷方式蒐集資料，再請研考單位或委託研究單位、大學分析課程效果，最終據分析結果決定是否擴大推行。</w:t>
            </w:r>
          </w:p>
          <w:p w:rsidR="004A2FA4" w:rsidRPr="00151D96" w:rsidRDefault="004A2FA4" w:rsidP="005924C4">
            <w:pPr>
              <w:numPr>
                <w:ilvl w:val="0"/>
                <w:numId w:val="7"/>
              </w:numPr>
              <w:snapToGrid w:val="0"/>
              <w:spacing w:line="340" w:lineRule="exact"/>
              <w:ind w:left="841" w:hangingChars="300" w:hanging="841"/>
              <w:jc w:val="both"/>
              <w:rPr>
                <w:rFonts w:ascii="標楷體" w:eastAsia="標楷體" w:hAnsi="標楷體"/>
                <w:color w:val="000000" w:themeColor="text1"/>
                <w:kern w:val="0"/>
                <w:sz w:val="28"/>
                <w:szCs w:val="28"/>
              </w:rPr>
            </w:pPr>
            <w:r w:rsidRPr="00151D96">
              <w:rPr>
                <w:rFonts w:ascii="標楷體" w:eastAsia="標楷體" w:hAnsi="標楷體" w:hint="eastAsia"/>
                <w:b/>
                <w:color w:val="000000" w:themeColor="text1"/>
                <w:kern w:val="0"/>
                <w:sz w:val="28"/>
                <w:szCs w:val="28"/>
              </w:rPr>
              <w:t>技術操作類課程－交通事故現場草圖測繪訓練課程</w:t>
            </w:r>
            <w:r w:rsidRPr="00151D96">
              <w:rPr>
                <w:rFonts w:ascii="標楷體" w:eastAsia="標楷體" w:hAnsi="標楷體" w:hint="eastAsia"/>
                <w:color w:val="000000" w:themeColor="text1"/>
                <w:kern w:val="0"/>
                <w:sz w:val="28"/>
                <w:szCs w:val="28"/>
              </w:rPr>
              <w:t>：此類課程較適合以VR方式進行。試辦執行單位可以中央警察大學或警察專科學校作為試辦單位，由警政署自行招標或補助學校進行招標製作相關課程，並交由學校執行。警察大學或警察專科學校學生受訓完後，第一階段讓學生可以重覆自軟體題庫中選擇自我評量，之後再由學校請教師在結訓測驗或期中（末）測驗中出題考評之，用以評斷學習成效。最終再請授課教師填寫問卷或撰寫分析報告，以供中央單位評斷是否可以將此一VR學習軟體擴大推行至全國各警察分局作為教育訓練課程。</w:t>
            </w:r>
          </w:p>
          <w:p w:rsidR="004A2FA4" w:rsidRPr="004A2FA4" w:rsidRDefault="004A2FA4" w:rsidP="005924C4">
            <w:pPr>
              <w:numPr>
                <w:ilvl w:val="0"/>
                <w:numId w:val="7"/>
              </w:numPr>
              <w:snapToGrid w:val="0"/>
              <w:spacing w:line="340" w:lineRule="exact"/>
              <w:ind w:left="841" w:hangingChars="300" w:hanging="841"/>
              <w:jc w:val="both"/>
              <w:rPr>
                <w:rFonts w:ascii="標楷體" w:eastAsia="標楷體" w:hAnsi="標楷體"/>
                <w:kern w:val="0"/>
                <w:sz w:val="28"/>
                <w:szCs w:val="28"/>
              </w:rPr>
            </w:pPr>
            <w:r w:rsidRPr="00151D96">
              <w:rPr>
                <w:rFonts w:ascii="標楷體" w:eastAsia="標楷體" w:hAnsi="標楷體" w:hint="eastAsia"/>
                <w:b/>
                <w:color w:val="000000" w:themeColor="text1"/>
                <w:kern w:val="0"/>
                <w:sz w:val="28"/>
                <w:szCs w:val="28"/>
              </w:rPr>
              <w:lastRenderedPageBreak/>
              <w:t>語言學習類課程－以英檢為目的之沉浸式VR英語學習課程</w:t>
            </w:r>
            <w:r w:rsidR="009F1FFF">
              <w:rPr>
                <w:rFonts w:ascii="標楷體" w:eastAsia="標楷體" w:hAnsi="標楷體" w:hint="eastAsia"/>
                <w:color w:val="000000" w:themeColor="text1"/>
                <w:kern w:val="0"/>
                <w:sz w:val="28"/>
                <w:szCs w:val="28"/>
              </w:rPr>
              <w:t>：試辦執行單位可由中央主管機關或地方</w:t>
            </w:r>
            <w:r w:rsidRPr="00151D96">
              <w:rPr>
                <w:rFonts w:ascii="標楷體" w:eastAsia="標楷體" w:hAnsi="標楷體" w:hint="eastAsia"/>
                <w:color w:val="000000" w:themeColor="text1"/>
                <w:kern w:val="0"/>
                <w:sz w:val="28"/>
                <w:szCs w:val="28"/>
              </w:rPr>
              <w:t>政府擇點或單位試辦。推行期程分二至三年，並針對修習此VR課程者追蹤其是否在學習課程後的二年內能通過中級全民英檢，據以認定課程之成效。</w:t>
            </w:r>
          </w:p>
        </w:tc>
      </w:tr>
    </w:tbl>
    <w:p w:rsidR="0085182D" w:rsidRPr="00151D96" w:rsidRDefault="0085182D" w:rsidP="00E6745F">
      <w:pPr>
        <w:spacing w:line="340" w:lineRule="exact"/>
        <w:rPr>
          <w:rFonts w:ascii="標楷體" w:eastAsia="標楷體" w:hAnsi="標楷體"/>
        </w:rPr>
      </w:pPr>
    </w:p>
    <w:sectPr w:rsidR="0085182D" w:rsidRPr="00151D96" w:rsidSect="00706ABA">
      <w:footerReference w:type="default" r:id="rId9"/>
      <w:pgSz w:w="16838" w:h="11906" w:orient="landscape"/>
      <w:pgMar w:top="1247"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C7" w:rsidRDefault="00DF24C7" w:rsidP="00706ABA">
      <w:r>
        <w:separator/>
      </w:r>
    </w:p>
  </w:endnote>
  <w:endnote w:type="continuationSeparator" w:id="0">
    <w:p w:rsidR="00DF24C7" w:rsidRDefault="00DF24C7" w:rsidP="0070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27796"/>
      <w:docPartObj>
        <w:docPartGallery w:val="Page Numbers (Bottom of Page)"/>
        <w:docPartUnique/>
      </w:docPartObj>
    </w:sdtPr>
    <w:sdtEndPr>
      <w:rPr>
        <w:rFonts w:ascii="標楷體" w:eastAsia="標楷體" w:hAnsi="標楷體"/>
      </w:rPr>
    </w:sdtEndPr>
    <w:sdtContent>
      <w:p w:rsidR="002A28E2" w:rsidRPr="00706ABA" w:rsidRDefault="002A28E2" w:rsidP="00706ABA">
        <w:pPr>
          <w:pStyle w:val="a6"/>
          <w:jc w:val="center"/>
          <w:rPr>
            <w:rFonts w:ascii="標楷體" w:eastAsia="標楷體" w:hAnsi="標楷體"/>
          </w:rPr>
        </w:pPr>
        <w:r w:rsidRPr="00706ABA">
          <w:rPr>
            <w:rFonts w:ascii="標楷體" w:eastAsia="標楷體" w:hAnsi="標楷體"/>
          </w:rPr>
          <w:fldChar w:fldCharType="begin"/>
        </w:r>
        <w:r w:rsidRPr="00706ABA">
          <w:rPr>
            <w:rFonts w:ascii="標楷體" w:eastAsia="標楷體" w:hAnsi="標楷體"/>
          </w:rPr>
          <w:instrText>PAGE   \* MERGEFORMAT</w:instrText>
        </w:r>
        <w:r w:rsidRPr="00706ABA">
          <w:rPr>
            <w:rFonts w:ascii="標楷體" w:eastAsia="標楷體" w:hAnsi="標楷體"/>
          </w:rPr>
          <w:fldChar w:fldCharType="separate"/>
        </w:r>
        <w:r w:rsidR="00716A79" w:rsidRPr="00716A79">
          <w:rPr>
            <w:rFonts w:ascii="標楷體" w:eastAsia="標楷體" w:hAnsi="標楷體"/>
            <w:noProof/>
            <w:lang w:val="zh-TW"/>
          </w:rPr>
          <w:t>1</w:t>
        </w:r>
        <w:r w:rsidRPr="00706ABA">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C7" w:rsidRDefault="00DF24C7" w:rsidP="00706ABA">
      <w:r>
        <w:separator/>
      </w:r>
    </w:p>
  </w:footnote>
  <w:footnote w:type="continuationSeparator" w:id="0">
    <w:p w:rsidR="00DF24C7" w:rsidRDefault="00DF24C7" w:rsidP="0070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C0"/>
    <w:multiLevelType w:val="hybridMultilevel"/>
    <w:tmpl w:val="388EE852"/>
    <w:lvl w:ilvl="0" w:tplc="94A2A0EE">
      <w:start w:val="1"/>
      <w:numFmt w:val="decimal"/>
      <w:lvlText w:val="%1"/>
      <w:lvlJc w:val="center"/>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824E9"/>
    <w:multiLevelType w:val="hybridMultilevel"/>
    <w:tmpl w:val="630EA50E"/>
    <w:lvl w:ilvl="0" w:tplc="A4144476">
      <w:start w:val="1"/>
      <w:numFmt w:val="ideographDigital"/>
      <w:lvlText w:val="（%1）"/>
      <w:lvlJc w:val="left"/>
      <w:pPr>
        <w:ind w:left="119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5307A5"/>
    <w:multiLevelType w:val="hybridMultilevel"/>
    <w:tmpl w:val="CAB06C2A"/>
    <w:lvl w:ilvl="0" w:tplc="D7D0F6F2">
      <w:start w:val="3"/>
      <w:numFmt w:val="ideographDigital"/>
      <w:lvlText w:val="（%1）"/>
      <w:lvlJc w:val="left"/>
      <w:pPr>
        <w:ind w:left="119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FF5235"/>
    <w:multiLevelType w:val="hybridMultilevel"/>
    <w:tmpl w:val="89F86CD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4F7AB5"/>
    <w:multiLevelType w:val="hybridMultilevel"/>
    <w:tmpl w:val="844E11F6"/>
    <w:lvl w:ilvl="0" w:tplc="3B3CD492">
      <w:start w:val="3"/>
      <w:numFmt w:val="taiwaneseCountingThousand"/>
      <w:lvlText w:val="%1、"/>
      <w:lvlJc w:val="left"/>
      <w:pPr>
        <w:ind w:left="622"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8A1A2A"/>
    <w:multiLevelType w:val="multilevel"/>
    <w:tmpl w:val="D2F821CC"/>
    <w:styleLink w:val="5"/>
    <w:lvl w:ilvl="0">
      <w:start w:val="1"/>
      <w:numFmt w:val="taiwaneseCountingThousand"/>
      <w:lvlText w:val="（%1）"/>
      <w:lvlJc w:val="left"/>
      <w:pPr>
        <w:tabs>
          <w:tab w:val="num" w:pos="737"/>
        </w:tabs>
        <w:ind w:left="737" w:hanging="737"/>
      </w:pPr>
      <w:rPr>
        <w:rFonts w:eastAsia="新細明體"/>
        <w:kern w:val="2"/>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51A2DC6"/>
    <w:multiLevelType w:val="hybridMultilevel"/>
    <w:tmpl w:val="89F86CD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133BC0"/>
    <w:multiLevelType w:val="hybridMultilevel"/>
    <w:tmpl w:val="ECEEFE18"/>
    <w:lvl w:ilvl="0" w:tplc="68060964">
      <w:start w:val="1"/>
      <w:numFmt w:val="ideographDigital"/>
      <w:lvlText w:val="（%1）"/>
      <w:lvlJc w:val="left"/>
      <w:pPr>
        <w:ind w:left="119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4215C7"/>
    <w:multiLevelType w:val="hybridMultilevel"/>
    <w:tmpl w:val="630EA50E"/>
    <w:lvl w:ilvl="0" w:tplc="A4144476">
      <w:start w:val="1"/>
      <w:numFmt w:val="ideographDigital"/>
      <w:lvlText w:val="（%1）"/>
      <w:lvlJc w:val="left"/>
      <w:pPr>
        <w:ind w:left="119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9B4BD1"/>
    <w:multiLevelType w:val="hybridMultilevel"/>
    <w:tmpl w:val="A364DEAE"/>
    <w:lvl w:ilvl="0" w:tplc="EE0AB79E">
      <w:start w:val="4"/>
      <w:numFmt w:val="taiwaneseCountingThousand"/>
      <w:lvlText w:val="%1、"/>
      <w:lvlJc w:val="left"/>
      <w:pPr>
        <w:ind w:left="622"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6F0434"/>
    <w:multiLevelType w:val="hybridMultilevel"/>
    <w:tmpl w:val="3694350A"/>
    <w:lvl w:ilvl="0" w:tplc="4BDCCD4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C52FA5"/>
    <w:multiLevelType w:val="hybridMultilevel"/>
    <w:tmpl w:val="03288EEA"/>
    <w:lvl w:ilvl="0" w:tplc="079A1654">
      <w:start w:val="1"/>
      <w:numFmt w:val="taiwaneseCountingThousand"/>
      <w:lvlText w:val="%1、"/>
      <w:lvlJc w:val="left"/>
      <w:pPr>
        <w:ind w:left="622"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302DF1"/>
    <w:multiLevelType w:val="hybridMultilevel"/>
    <w:tmpl w:val="FB78D25C"/>
    <w:lvl w:ilvl="0" w:tplc="3D3C85AE">
      <w:start w:val="2"/>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2"/>
  </w:num>
  <w:num w:numId="4">
    <w:abstractNumId w:val="6"/>
  </w:num>
  <w:num w:numId="5">
    <w:abstractNumId w:val="1"/>
  </w:num>
  <w:num w:numId="6">
    <w:abstractNumId w:val="8"/>
  </w:num>
  <w:num w:numId="7">
    <w:abstractNumId w:val="10"/>
  </w:num>
  <w:num w:numId="8">
    <w:abstractNumId w:val="4"/>
  </w:num>
  <w:num w:numId="9">
    <w:abstractNumId w:val="11"/>
  </w:num>
  <w:num w:numId="10">
    <w:abstractNumId w:val="9"/>
  </w:num>
  <w:num w:numId="11">
    <w:abstractNumId w:val="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BA"/>
    <w:rsid w:val="0000115A"/>
    <w:rsid w:val="00002F9C"/>
    <w:rsid w:val="00030C64"/>
    <w:rsid w:val="00035731"/>
    <w:rsid w:val="00036C42"/>
    <w:rsid w:val="00057072"/>
    <w:rsid w:val="00061247"/>
    <w:rsid w:val="0007038D"/>
    <w:rsid w:val="00074DB7"/>
    <w:rsid w:val="000761E5"/>
    <w:rsid w:val="00077FCD"/>
    <w:rsid w:val="00090CCB"/>
    <w:rsid w:val="00094BEB"/>
    <w:rsid w:val="000A385E"/>
    <w:rsid w:val="000B0066"/>
    <w:rsid w:val="000C58EB"/>
    <w:rsid w:val="000E079A"/>
    <w:rsid w:val="000F0E2E"/>
    <w:rsid w:val="000F2309"/>
    <w:rsid w:val="000F4962"/>
    <w:rsid w:val="00103712"/>
    <w:rsid w:val="00103CFD"/>
    <w:rsid w:val="0012012C"/>
    <w:rsid w:val="0012347E"/>
    <w:rsid w:val="00133072"/>
    <w:rsid w:val="00141E1E"/>
    <w:rsid w:val="001458B9"/>
    <w:rsid w:val="00151D96"/>
    <w:rsid w:val="0015473A"/>
    <w:rsid w:val="00162C3F"/>
    <w:rsid w:val="00166AC3"/>
    <w:rsid w:val="001672E5"/>
    <w:rsid w:val="00195652"/>
    <w:rsid w:val="001B1FE8"/>
    <w:rsid w:val="001E5D5C"/>
    <w:rsid w:val="00206A3E"/>
    <w:rsid w:val="002239C1"/>
    <w:rsid w:val="002245DD"/>
    <w:rsid w:val="00227699"/>
    <w:rsid w:val="002370A0"/>
    <w:rsid w:val="00245FD8"/>
    <w:rsid w:val="0024723E"/>
    <w:rsid w:val="00250910"/>
    <w:rsid w:val="00271123"/>
    <w:rsid w:val="00285C85"/>
    <w:rsid w:val="00293C92"/>
    <w:rsid w:val="002972E9"/>
    <w:rsid w:val="002A28E2"/>
    <w:rsid w:val="002B1E9C"/>
    <w:rsid w:val="002B73CB"/>
    <w:rsid w:val="002C152D"/>
    <w:rsid w:val="002C2B7F"/>
    <w:rsid w:val="002D5DF8"/>
    <w:rsid w:val="002E5573"/>
    <w:rsid w:val="002E72FD"/>
    <w:rsid w:val="003015DE"/>
    <w:rsid w:val="00304A2A"/>
    <w:rsid w:val="00306318"/>
    <w:rsid w:val="00314126"/>
    <w:rsid w:val="00320067"/>
    <w:rsid w:val="0033146F"/>
    <w:rsid w:val="0033217C"/>
    <w:rsid w:val="00346070"/>
    <w:rsid w:val="0035545A"/>
    <w:rsid w:val="00363C55"/>
    <w:rsid w:val="00370B87"/>
    <w:rsid w:val="00377E3D"/>
    <w:rsid w:val="003869AD"/>
    <w:rsid w:val="003A1307"/>
    <w:rsid w:val="003A3285"/>
    <w:rsid w:val="003A42A1"/>
    <w:rsid w:val="003C4640"/>
    <w:rsid w:val="003C5C27"/>
    <w:rsid w:val="003D1A2E"/>
    <w:rsid w:val="003E4342"/>
    <w:rsid w:val="003E6E57"/>
    <w:rsid w:val="003F4A05"/>
    <w:rsid w:val="003F5024"/>
    <w:rsid w:val="003F728D"/>
    <w:rsid w:val="00400A71"/>
    <w:rsid w:val="004142BC"/>
    <w:rsid w:val="00420183"/>
    <w:rsid w:val="00431D55"/>
    <w:rsid w:val="00441B25"/>
    <w:rsid w:val="00442235"/>
    <w:rsid w:val="00453B97"/>
    <w:rsid w:val="00455850"/>
    <w:rsid w:val="0045706F"/>
    <w:rsid w:val="00461E0D"/>
    <w:rsid w:val="00476735"/>
    <w:rsid w:val="00476E47"/>
    <w:rsid w:val="00484928"/>
    <w:rsid w:val="00486FBF"/>
    <w:rsid w:val="004A2FA4"/>
    <w:rsid w:val="004C0D4A"/>
    <w:rsid w:val="004C6757"/>
    <w:rsid w:val="004E12A1"/>
    <w:rsid w:val="004E6098"/>
    <w:rsid w:val="00501746"/>
    <w:rsid w:val="005177FB"/>
    <w:rsid w:val="00532E72"/>
    <w:rsid w:val="005403BA"/>
    <w:rsid w:val="00564C07"/>
    <w:rsid w:val="00567F60"/>
    <w:rsid w:val="0057009C"/>
    <w:rsid w:val="0057610D"/>
    <w:rsid w:val="00581D4A"/>
    <w:rsid w:val="00581EDF"/>
    <w:rsid w:val="00582193"/>
    <w:rsid w:val="005924C4"/>
    <w:rsid w:val="00595539"/>
    <w:rsid w:val="005B6F3A"/>
    <w:rsid w:val="005C3142"/>
    <w:rsid w:val="005D4765"/>
    <w:rsid w:val="005E5745"/>
    <w:rsid w:val="0061083F"/>
    <w:rsid w:val="0061490B"/>
    <w:rsid w:val="00634713"/>
    <w:rsid w:val="00644EC2"/>
    <w:rsid w:val="0064720A"/>
    <w:rsid w:val="00660FFE"/>
    <w:rsid w:val="0066262E"/>
    <w:rsid w:val="006A5A29"/>
    <w:rsid w:val="006C4EC0"/>
    <w:rsid w:val="006C65DE"/>
    <w:rsid w:val="006D0EA6"/>
    <w:rsid w:val="006D1BA0"/>
    <w:rsid w:val="006D4224"/>
    <w:rsid w:val="006E2C9F"/>
    <w:rsid w:val="006E3BBC"/>
    <w:rsid w:val="006F0F07"/>
    <w:rsid w:val="006F24D3"/>
    <w:rsid w:val="006F4C9C"/>
    <w:rsid w:val="006F5A87"/>
    <w:rsid w:val="006F7C5A"/>
    <w:rsid w:val="00706714"/>
    <w:rsid w:val="00706ABA"/>
    <w:rsid w:val="0071012E"/>
    <w:rsid w:val="00713990"/>
    <w:rsid w:val="00716A79"/>
    <w:rsid w:val="00717E5A"/>
    <w:rsid w:val="007278EA"/>
    <w:rsid w:val="00735364"/>
    <w:rsid w:val="00736D5C"/>
    <w:rsid w:val="007402D9"/>
    <w:rsid w:val="00753567"/>
    <w:rsid w:val="00756410"/>
    <w:rsid w:val="00772C31"/>
    <w:rsid w:val="0077535B"/>
    <w:rsid w:val="00782A99"/>
    <w:rsid w:val="00783A10"/>
    <w:rsid w:val="0078672B"/>
    <w:rsid w:val="007910D2"/>
    <w:rsid w:val="00796316"/>
    <w:rsid w:val="007A0E14"/>
    <w:rsid w:val="007B3B8E"/>
    <w:rsid w:val="007B6CFE"/>
    <w:rsid w:val="007D1F56"/>
    <w:rsid w:val="007D369C"/>
    <w:rsid w:val="007E34D7"/>
    <w:rsid w:val="007E79F7"/>
    <w:rsid w:val="007F26DC"/>
    <w:rsid w:val="00804EB3"/>
    <w:rsid w:val="00815876"/>
    <w:rsid w:val="00817EA9"/>
    <w:rsid w:val="00827778"/>
    <w:rsid w:val="0082789D"/>
    <w:rsid w:val="00850328"/>
    <w:rsid w:val="0085182D"/>
    <w:rsid w:val="00851F3D"/>
    <w:rsid w:val="00854594"/>
    <w:rsid w:val="00873B4A"/>
    <w:rsid w:val="00885A84"/>
    <w:rsid w:val="00894D89"/>
    <w:rsid w:val="008A0B74"/>
    <w:rsid w:val="008B5534"/>
    <w:rsid w:val="008C026D"/>
    <w:rsid w:val="008C7DD5"/>
    <w:rsid w:val="008D61E5"/>
    <w:rsid w:val="008D76C7"/>
    <w:rsid w:val="008E7AD3"/>
    <w:rsid w:val="008F0BE2"/>
    <w:rsid w:val="008F7ABF"/>
    <w:rsid w:val="00913CF5"/>
    <w:rsid w:val="009168B5"/>
    <w:rsid w:val="009209B2"/>
    <w:rsid w:val="00922692"/>
    <w:rsid w:val="0093275B"/>
    <w:rsid w:val="00937C01"/>
    <w:rsid w:val="00940BA2"/>
    <w:rsid w:val="00947E21"/>
    <w:rsid w:val="00950045"/>
    <w:rsid w:val="009520D1"/>
    <w:rsid w:val="00953AB7"/>
    <w:rsid w:val="00954285"/>
    <w:rsid w:val="009549CA"/>
    <w:rsid w:val="0099066D"/>
    <w:rsid w:val="00992348"/>
    <w:rsid w:val="0099409E"/>
    <w:rsid w:val="009A16ED"/>
    <w:rsid w:val="009A5AB2"/>
    <w:rsid w:val="009A5CA2"/>
    <w:rsid w:val="009B3748"/>
    <w:rsid w:val="009D6BE1"/>
    <w:rsid w:val="009E61BE"/>
    <w:rsid w:val="009F12AA"/>
    <w:rsid w:val="009F1FFF"/>
    <w:rsid w:val="009F34C6"/>
    <w:rsid w:val="009F557F"/>
    <w:rsid w:val="009F7D7F"/>
    <w:rsid w:val="00A00F4D"/>
    <w:rsid w:val="00A030C7"/>
    <w:rsid w:val="00A10C77"/>
    <w:rsid w:val="00A25329"/>
    <w:rsid w:val="00A27ACB"/>
    <w:rsid w:val="00A30544"/>
    <w:rsid w:val="00A33968"/>
    <w:rsid w:val="00A37BE6"/>
    <w:rsid w:val="00A54A20"/>
    <w:rsid w:val="00A607F8"/>
    <w:rsid w:val="00A64B1F"/>
    <w:rsid w:val="00A7418F"/>
    <w:rsid w:val="00A773E3"/>
    <w:rsid w:val="00A801F9"/>
    <w:rsid w:val="00A82812"/>
    <w:rsid w:val="00AA1359"/>
    <w:rsid w:val="00AA20DC"/>
    <w:rsid w:val="00AA2C9B"/>
    <w:rsid w:val="00AC48E6"/>
    <w:rsid w:val="00AD40A8"/>
    <w:rsid w:val="00AD6DA1"/>
    <w:rsid w:val="00AF3572"/>
    <w:rsid w:val="00AF7D5C"/>
    <w:rsid w:val="00B00FF9"/>
    <w:rsid w:val="00B018E6"/>
    <w:rsid w:val="00B40DCB"/>
    <w:rsid w:val="00B43313"/>
    <w:rsid w:val="00B46FF1"/>
    <w:rsid w:val="00B53E8A"/>
    <w:rsid w:val="00B7296C"/>
    <w:rsid w:val="00B7480C"/>
    <w:rsid w:val="00B84121"/>
    <w:rsid w:val="00B845A8"/>
    <w:rsid w:val="00B968FB"/>
    <w:rsid w:val="00BC4A5C"/>
    <w:rsid w:val="00BD12CA"/>
    <w:rsid w:val="00BF05B5"/>
    <w:rsid w:val="00BF6572"/>
    <w:rsid w:val="00C13CFE"/>
    <w:rsid w:val="00C14548"/>
    <w:rsid w:val="00C323ED"/>
    <w:rsid w:val="00C33A2B"/>
    <w:rsid w:val="00C359A1"/>
    <w:rsid w:val="00C43861"/>
    <w:rsid w:val="00C47B27"/>
    <w:rsid w:val="00C66F25"/>
    <w:rsid w:val="00C703DD"/>
    <w:rsid w:val="00C708EF"/>
    <w:rsid w:val="00CA73BB"/>
    <w:rsid w:val="00CD2238"/>
    <w:rsid w:val="00CD2A5F"/>
    <w:rsid w:val="00CD2E7C"/>
    <w:rsid w:val="00CE47A3"/>
    <w:rsid w:val="00CF63D1"/>
    <w:rsid w:val="00D0242C"/>
    <w:rsid w:val="00D20698"/>
    <w:rsid w:val="00D22D00"/>
    <w:rsid w:val="00D26BBF"/>
    <w:rsid w:val="00D50D1B"/>
    <w:rsid w:val="00D54D8A"/>
    <w:rsid w:val="00D71150"/>
    <w:rsid w:val="00D81672"/>
    <w:rsid w:val="00D8236F"/>
    <w:rsid w:val="00D94336"/>
    <w:rsid w:val="00DA59F1"/>
    <w:rsid w:val="00DA67E4"/>
    <w:rsid w:val="00DD0D5E"/>
    <w:rsid w:val="00DD0E1A"/>
    <w:rsid w:val="00DD3D2E"/>
    <w:rsid w:val="00DE0656"/>
    <w:rsid w:val="00DE2534"/>
    <w:rsid w:val="00DE780A"/>
    <w:rsid w:val="00DF0C33"/>
    <w:rsid w:val="00DF103B"/>
    <w:rsid w:val="00DF24C7"/>
    <w:rsid w:val="00DF64CD"/>
    <w:rsid w:val="00E00A1A"/>
    <w:rsid w:val="00E2108E"/>
    <w:rsid w:val="00E27FCD"/>
    <w:rsid w:val="00E341F3"/>
    <w:rsid w:val="00E403B4"/>
    <w:rsid w:val="00E42596"/>
    <w:rsid w:val="00E508A5"/>
    <w:rsid w:val="00E648FD"/>
    <w:rsid w:val="00E6745F"/>
    <w:rsid w:val="00E70B98"/>
    <w:rsid w:val="00E95D67"/>
    <w:rsid w:val="00EA32EE"/>
    <w:rsid w:val="00EB0468"/>
    <w:rsid w:val="00EC3687"/>
    <w:rsid w:val="00ED2997"/>
    <w:rsid w:val="00ED39E3"/>
    <w:rsid w:val="00EE3FC3"/>
    <w:rsid w:val="00F04C65"/>
    <w:rsid w:val="00F1031A"/>
    <w:rsid w:val="00F1734B"/>
    <w:rsid w:val="00F31433"/>
    <w:rsid w:val="00F31CD4"/>
    <w:rsid w:val="00F37C4E"/>
    <w:rsid w:val="00F46875"/>
    <w:rsid w:val="00F708CD"/>
    <w:rsid w:val="00F71DBF"/>
    <w:rsid w:val="00F979F8"/>
    <w:rsid w:val="00FA17B9"/>
    <w:rsid w:val="00FA2486"/>
    <w:rsid w:val="00FB1905"/>
    <w:rsid w:val="00FB4F0B"/>
    <w:rsid w:val="00FB6B1F"/>
    <w:rsid w:val="00FC536B"/>
    <w:rsid w:val="00FE029B"/>
    <w:rsid w:val="00FE199E"/>
    <w:rsid w:val="00FE1D63"/>
    <w:rsid w:val="00FE34B6"/>
    <w:rsid w:val="00FE3568"/>
    <w:rsid w:val="00FF211C"/>
    <w:rsid w:val="00FF462E"/>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ABA"/>
    <w:pPr>
      <w:tabs>
        <w:tab w:val="center" w:pos="4153"/>
        <w:tab w:val="right" w:pos="8306"/>
      </w:tabs>
      <w:snapToGrid w:val="0"/>
    </w:pPr>
    <w:rPr>
      <w:sz w:val="20"/>
      <w:szCs w:val="20"/>
    </w:rPr>
  </w:style>
  <w:style w:type="character" w:customStyle="1" w:styleId="a5">
    <w:name w:val="頁首 字元"/>
    <w:basedOn w:val="a0"/>
    <w:link w:val="a4"/>
    <w:uiPriority w:val="99"/>
    <w:rsid w:val="00706ABA"/>
    <w:rPr>
      <w:rFonts w:ascii="Times New Roman" w:eastAsia="新細明體" w:hAnsi="Times New Roman" w:cs="Times New Roman"/>
      <w:sz w:val="20"/>
      <w:szCs w:val="20"/>
    </w:rPr>
  </w:style>
  <w:style w:type="paragraph" w:styleId="a6">
    <w:name w:val="footer"/>
    <w:basedOn w:val="a"/>
    <w:link w:val="a7"/>
    <w:uiPriority w:val="99"/>
    <w:unhideWhenUsed/>
    <w:rsid w:val="00706ABA"/>
    <w:pPr>
      <w:tabs>
        <w:tab w:val="center" w:pos="4153"/>
        <w:tab w:val="right" w:pos="8306"/>
      </w:tabs>
      <w:snapToGrid w:val="0"/>
    </w:pPr>
    <w:rPr>
      <w:sz w:val="20"/>
      <w:szCs w:val="20"/>
    </w:rPr>
  </w:style>
  <w:style w:type="character" w:customStyle="1" w:styleId="a7">
    <w:name w:val="頁尾 字元"/>
    <w:basedOn w:val="a0"/>
    <w:link w:val="a6"/>
    <w:uiPriority w:val="99"/>
    <w:rsid w:val="00706ABA"/>
    <w:rPr>
      <w:rFonts w:ascii="Times New Roman" w:eastAsia="新細明體" w:hAnsi="Times New Roman" w:cs="Times New Roman"/>
      <w:sz w:val="20"/>
      <w:szCs w:val="20"/>
    </w:rPr>
  </w:style>
  <w:style w:type="numbering" w:customStyle="1" w:styleId="5">
    <w:name w:val="樣式 標題5"/>
    <w:basedOn w:val="a2"/>
    <w:rsid w:val="00756410"/>
    <w:pPr>
      <w:numPr>
        <w:numId w:val="1"/>
      </w:numPr>
    </w:pPr>
  </w:style>
  <w:style w:type="paragraph" w:styleId="a8">
    <w:name w:val="List Paragraph"/>
    <w:basedOn w:val="a"/>
    <w:link w:val="a9"/>
    <w:uiPriority w:val="34"/>
    <w:qFormat/>
    <w:rsid w:val="00756410"/>
    <w:pPr>
      <w:ind w:leftChars="200" w:left="480"/>
    </w:pPr>
    <w:rPr>
      <w:rFonts w:ascii="Calibri" w:hAnsi="Calibri"/>
      <w:szCs w:val="22"/>
    </w:rPr>
  </w:style>
  <w:style w:type="character" w:customStyle="1" w:styleId="a9">
    <w:name w:val="清單段落 字元"/>
    <w:link w:val="a8"/>
    <w:uiPriority w:val="34"/>
    <w:rsid w:val="00756410"/>
    <w:rPr>
      <w:rFonts w:ascii="Calibri" w:eastAsia="新細明體" w:hAnsi="Calibri" w:cs="Times New Roman"/>
    </w:rPr>
  </w:style>
  <w:style w:type="paragraph" w:styleId="aa">
    <w:name w:val="Balloon Text"/>
    <w:basedOn w:val="a"/>
    <w:link w:val="ab"/>
    <w:uiPriority w:val="99"/>
    <w:semiHidden/>
    <w:unhideWhenUsed/>
    <w:rsid w:val="007B6CF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6CFE"/>
    <w:rPr>
      <w:rFonts w:asciiTheme="majorHAnsi" w:eastAsiaTheme="majorEastAsia" w:hAnsiTheme="majorHAnsi" w:cstheme="majorBidi"/>
      <w:sz w:val="18"/>
      <w:szCs w:val="18"/>
    </w:rPr>
  </w:style>
  <w:style w:type="paragraph" w:styleId="ac">
    <w:name w:val="Plain Text"/>
    <w:basedOn w:val="a"/>
    <w:link w:val="ad"/>
    <w:uiPriority w:val="99"/>
    <w:unhideWhenUsed/>
    <w:rsid w:val="00772C31"/>
    <w:rPr>
      <w:rFonts w:ascii="Calibri" w:hAnsi="Courier New" w:cs="Courier New"/>
    </w:rPr>
  </w:style>
  <w:style w:type="character" w:customStyle="1" w:styleId="ad">
    <w:name w:val="純文字 字元"/>
    <w:basedOn w:val="a0"/>
    <w:link w:val="ac"/>
    <w:uiPriority w:val="99"/>
    <w:rsid w:val="00772C31"/>
    <w:rPr>
      <w:rFonts w:ascii="Calibri" w:eastAsia="新細明體" w:hAnsi="Courier New" w:cs="Courier New"/>
      <w:szCs w:val="24"/>
    </w:rPr>
  </w:style>
  <w:style w:type="paragraph" w:customStyle="1" w:styleId="cjk">
    <w:name w:val="cjk"/>
    <w:basedOn w:val="a"/>
    <w:rsid w:val="00E00A1A"/>
    <w:pPr>
      <w:widowControl/>
      <w:spacing w:before="100" w:beforeAutospacing="1" w:after="142" w:line="288" w:lineRule="auto"/>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ABA"/>
    <w:pPr>
      <w:tabs>
        <w:tab w:val="center" w:pos="4153"/>
        <w:tab w:val="right" w:pos="8306"/>
      </w:tabs>
      <w:snapToGrid w:val="0"/>
    </w:pPr>
    <w:rPr>
      <w:sz w:val="20"/>
      <w:szCs w:val="20"/>
    </w:rPr>
  </w:style>
  <w:style w:type="character" w:customStyle="1" w:styleId="a5">
    <w:name w:val="頁首 字元"/>
    <w:basedOn w:val="a0"/>
    <w:link w:val="a4"/>
    <w:uiPriority w:val="99"/>
    <w:rsid w:val="00706ABA"/>
    <w:rPr>
      <w:rFonts w:ascii="Times New Roman" w:eastAsia="新細明體" w:hAnsi="Times New Roman" w:cs="Times New Roman"/>
      <w:sz w:val="20"/>
      <w:szCs w:val="20"/>
    </w:rPr>
  </w:style>
  <w:style w:type="paragraph" w:styleId="a6">
    <w:name w:val="footer"/>
    <w:basedOn w:val="a"/>
    <w:link w:val="a7"/>
    <w:uiPriority w:val="99"/>
    <w:unhideWhenUsed/>
    <w:rsid w:val="00706ABA"/>
    <w:pPr>
      <w:tabs>
        <w:tab w:val="center" w:pos="4153"/>
        <w:tab w:val="right" w:pos="8306"/>
      </w:tabs>
      <w:snapToGrid w:val="0"/>
    </w:pPr>
    <w:rPr>
      <w:sz w:val="20"/>
      <w:szCs w:val="20"/>
    </w:rPr>
  </w:style>
  <w:style w:type="character" w:customStyle="1" w:styleId="a7">
    <w:name w:val="頁尾 字元"/>
    <w:basedOn w:val="a0"/>
    <w:link w:val="a6"/>
    <w:uiPriority w:val="99"/>
    <w:rsid w:val="00706ABA"/>
    <w:rPr>
      <w:rFonts w:ascii="Times New Roman" w:eastAsia="新細明體" w:hAnsi="Times New Roman" w:cs="Times New Roman"/>
      <w:sz w:val="20"/>
      <w:szCs w:val="20"/>
    </w:rPr>
  </w:style>
  <w:style w:type="numbering" w:customStyle="1" w:styleId="5">
    <w:name w:val="樣式 標題5"/>
    <w:basedOn w:val="a2"/>
    <w:rsid w:val="00756410"/>
    <w:pPr>
      <w:numPr>
        <w:numId w:val="1"/>
      </w:numPr>
    </w:pPr>
  </w:style>
  <w:style w:type="paragraph" w:styleId="a8">
    <w:name w:val="List Paragraph"/>
    <w:basedOn w:val="a"/>
    <w:link w:val="a9"/>
    <w:uiPriority w:val="34"/>
    <w:qFormat/>
    <w:rsid w:val="00756410"/>
    <w:pPr>
      <w:ind w:leftChars="200" w:left="480"/>
    </w:pPr>
    <w:rPr>
      <w:rFonts w:ascii="Calibri" w:hAnsi="Calibri"/>
      <w:szCs w:val="22"/>
    </w:rPr>
  </w:style>
  <w:style w:type="character" w:customStyle="1" w:styleId="a9">
    <w:name w:val="清單段落 字元"/>
    <w:link w:val="a8"/>
    <w:uiPriority w:val="34"/>
    <w:rsid w:val="00756410"/>
    <w:rPr>
      <w:rFonts w:ascii="Calibri" w:eastAsia="新細明體" w:hAnsi="Calibri" w:cs="Times New Roman"/>
    </w:rPr>
  </w:style>
  <w:style w:type="paragraph" w:styleId="aa">
    <w:name w:val="Balloon Text"/>
    <w:basedOn w:val="a"/>
    <w:link w:val="ab"/>
    <w:uiPriority w:val="99"/>
    <w:semiHidden/>
    <w:unhideWhenUsed/>
    <w:rsid w:val="007B6CF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6CFE"/>
    <w:rPr>
      <w:rFonts w:asciiTheme="majorHAnsi" w:eastAsiaTheme="majorEastAsia" w:hAnsiTheme="majorHAnsi" w:cstheme="majorBidi"/>
      <w:sz w:val="18"/>
      <w:szCs w:val="18"/>
    </w:rPr>
  </w:style>
  <w:style w:type="paragraph" w:styleId="ac">
    <w:name w:val="Plain Text"/>
    <w:basedOn w:val="a"/>
    <w:link w:val="ad"/>
    <w:uiPriority w:val="99"/>
    <w:unhideWhenUsed/>
    <w:rsid w:val="00772C31"/>
    <w:rPr>
      <w:rFonts w:ascii="Calibri" w:hAnsi="Courier New" w:cs="Courier New"/>
    </w:rPr>
  </w:style>
  <w:style w:type="character" w:customStyle="1" w:styleId="ad">
    <w:name w:val="純文字 字元"/>
    <w:basedOn w:val="a0"/>
    <w:link w:val="ac"/>
    <w:uiPriority w:val="99"/>
    <w:rsid w:val="00772C31"/>
    <w:rPr>
      <w:rFonts w:ascii="Calibri" w:eastAsia="新細明體" w:hAnsi="Courier New" w:cs="Courier New"/>
      <w:szCs w:val="24"/>
    </w:rPr>
  </w:style>
  <w:style w:type="paragraph" w:customStyle="1" w:styleId="cjk">
    <w:name w:val="cjk"/>
    <w:basedOn w:val="a"/>
    <w:rsid w:val="00E00A1A"/>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8596">
      <w:bodyDiv w:val="1"/>
      <w:marLeft w:val="0"/>
      <w:marRight w:val="0"/>
      <w:marTop w:val="0"/>
      <w:marBottom w:val="0"/>
      <w:divBdr>
        <w:top w:val="none" w:sz="0" w:space="0" w:color="auto"/>
        <w:left w:val="none" w:sz="0" w:space="0" w:color="auto"/>
        <w:bottom w:val="none" w:sz="0" w:space="0" w:color="auto"/>
        <w:right w:val="none" w:sz="0" w:space="0" w:color="auto"/>
      </w:divBdr>
    </w:div>
    <w:div w:id="16878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884C-CC5D-44FF-B8ED-8513A7B0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綜合規劃處第四科陳柏羽</dc:creator>
  <cp:lastModifiedBy>總發文張雨龍</cp:lastModifiedBy>
  <cp:revision>3</cp:revision>
  <cp:lastPrinted>2019-01-18T07:15:00Z</cp:lastPrinted>
  <dcterms:created xsi:type="dcterms:W3CDTF">2019-04-02T09:16:00Z</dcterms:created>
  <dcterms:modified xsi:type="dcterms:W3CDTF">2019-04-08T06:23:00Z</dcterms:modified>
</cp:coreProperties>
</file>