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A6" w:rsidRDefault="008D633A">
      <w:pPr>
        <w:pStyle w:val="Standard"/>
        <w:tabs>
          <w:tab w:val="left" w:pos="2042"/>
          <w:tab w:val="left" w:pos="6294"/>
          <w:tab w:val="left" w:pos="6578"/>
          <w:tab w:val="left" w:pos="6861"/>
        </w:tabs>
        <w:overflowPunct w:val="0"/>
        <w:spacing w:line="460" w:lineRule="exact"/>
        <w:ind w:left="57"/>
        <w:jc w:val="center"/>
      </w:pPr>
      <w:bookmarkStart w:id="0" w:name="_GoBack"/>
      <w:r>
        <w:rPr>
          <w:rFonts w:ascii="標楷體" w:eastAsia="標楷體" w:hAnsi="標楷體"/>
          <w:sz w:val="40"/>
          <w:szCs w:val="40"/>
        </w:rPr>
        <w:t>教師申訴評議委員會組織及評議準則第九條、第三十二條修正條文</w:t>
      </w:r>
    </w:p>
    <w:bookmarkEnd w:id="0"/>
    <w:p w:rsidR="000F1BA6" w:rsidRDefault="008D633A">
      <w:pPr>
        <w:pStyle w:val="Standard"/>
        <w:widowControl/>
        <w:tabs>
          <w:tab w:val="left" w:pos="1156"/>
          <w:tab w:val="left" w:pos="1360"/>
          <w:tab w:val="left" w:pos="1680"/>
          <w:tab w:val="left" w:pos="2072"/>
          <w:tab w:val="left" w:pos="2988"/>
          <w:tab w:val="left" w:pos="3904"/>
          <w:tab w:val="left" w:pos="4820"/>
          <w:tab w:val="left" w:pos="5736"/>
          <w:tab w:val="left" w:pos="6652"/>
          <w:tab w:val="left" w:pos="7568"/>
          <w:tab w:val="left" w:pos="8484"/>
          <w:tab w:val="left" w:pos="9400"/>
          <w:tab w:val="left" w:pos="10316"/>
          <w:tab w:val="left" w:pos="11232"/>
          <w:tab w:val="left" w:pos="12148"/>
          <w:tab w:val="left" w:pos="13064"/>
          <w:tab w:val="left" w:pos="13980"/>
          <w:tab w:val="left" w:pos="14896"/>
        </w:tabs>
        <w:overflowPunct w:val="0"/>
        <w:spacing w:line="360" w:lineRule="exact"/>
        <w:ind w:left="250" w:hanging="250"/>
      </w:pPr>
      <w:r>
        <w:rPr>
          <w:rFonts w:eastAsia="標楷體"/>
          <w:sz w:val="28"/>
          <w:szCs w:val="28"/>
        </w:rPr>
        <w:t>第九條</w:t>
      </w:r>
      <w:r>
        <w:rPr>
          <w:rFonts w:eastAsia="標楷體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rFonts w:ascii="標楷體" w:eastAsia="標楷體" w:hAnsi="標楷體" w:cs="細明體"/>
          <w:kern w:val="0"/>
          <w:sz w:val="28"/>
          <w:szCs w:val="28"/>
        </w:rPr>
        <w:t>教師提起申訴、再申訴之管轄如下：</w:t>
      </w:r>
    </w:p>
    <w:p w:rsidR="000F1BA6" w:rsidRDefault="008D633A">
      <w:pPr>
        <w:pStyle w:val="Standard"/>
        <w:widowControl/>
        <w:numPr>
          <w:ilvl w:val="0"/>
          <w:numId w:val="3"/>
        </w:numPr>
        <w:tabs>
          <w:tab w:val="left" w:pos="-700"/>
          <w:tab w:val="left" w:pos="129"/>
          <w:tab w:val="left" w:pos="609"/>
          <w:tab w:val="left" w:pos="1089"/>
          <w:tab w:val="left" w:pos="1569"/>
          <w:tab w:val="left" w:pos="2049"/>
          <w:tab w:val="left" w:pos="2604"/>
          <w:tab w:val="left" w:pos="3009"/>
          <w:tab w:val="left" w:pos="3489"/>
          <w:tab w:val="left" w:pos="10292"/>
          <w:tab w:val="left" w:pos="11208"/>
          <w:tab w:val="left" w:pos="12124"/>
          <w:tab w:val="left" w:pos="13040"/>
        </w:tabs>
        <w:overflowPunct w:val="0"/>
        <w:spacing w:line="360" w:lineRule="exact"/>
        <w:ind w:left="1984" w:hanging="567"/>
      </w:pPr>
      <w:r>
        <w:rPr>
          <w:rFonts w:ascii="標楷體" w:eastAsia="標楷體" w:hAnsi="標楷體" w:cs="細明體"/>
          <w:kern w:val="0"/>
          <w:sz w:val="28"/>
          <w:szCs w:val="28"/>
        </w:rPr>
        <w:t>對於專科以上學校之措施不服者，向該學校申評會</w:t>
      </w:r>
      <w:r>
        <w:rPr>
          <w:rFonts w:ascii="標楷體" w:eastAsia="標楷體" w:hAnsi="標楷體" w:cs="細明體"/>
          <w:kern w:val="0"/>
          <w:sz w:val="28"/>
          <w:szCs w:val="28"/>
        </w:rPr>
        <w:t>提起申訴；如不服其評議決定者，向中央主管機關申評會提起再申訴。</w:t>
      </w:r>
    </w:p>
    <w:p w:rsidR="000F1BA6" w:rsidRDefault="008D633A">
      <w:pPr>
        <w:pStyle w:val="Standard"/>
        <w:widowControl/>
        <w:numPr>
          <w:ilvl w:val="0"/>
          <w:numId w:val="3"/>
        </w:numPr>
        <w:tabs>
          <w:tab w:val="left" w:pos="1107"/>
          <w:tab w:val="left" w:pos="1625"/>
          <w:tab w:val="left" w:pos="1985"/>
          <w:tab w:val="left" w:pos="3555"/>
          <w:tab w:val="left" w:pos="4471"/>
          <w:tab w:val="left" w:pos="5387"/>
          <w:tab w:val="left" w:pos="6303"/>
          <w:tab w:val="left" w:pos="7219"/>
          <w:tab w:val="left" w:pos="8135"/>
          <w:tab w:val="left" w:pos="9051"/>
          <w:tab w:val="left" w:pos="9967"/>
          <w:tab w:val="left" w:pos="10883"/>
          <w:tab w:val="left" w:pos="11799"/>
          <w:tab w:val="left" w:pos="12715"/>
          <w:tab w:val="left" w:pos="13631"/>
          <w:tab w:val="left" w:pos="14547"/>
          <w:tab w:val="left" w:pos="15463"/>
        </w:tabs>
        <w:overflowPunct w:val="0"/>
        <w:spacing w:line="360" w:lineRule="exact"/>
        <w:ind w:left="1985" w:hanging="567"/>
      </w:pPr>
      <w:r>
        <w:rPr>
          <w:rFonts w:ascii="標楷體" w:eastAsia="標楷體" w:hAnsi="標楷體" w:cs="細明體"/>
          <w:kern w:val="0"/>
          <w:sz w:val="28"/>
          <w:szCs w:val="28"/>
        </w:rPr>
        <w:t>對於高級中等以下學校之措施不服者，向學校所屬主管機關申評會提起申訴；如不服其評議決定者，向其上級主管機關申評會提起再申訴。但學校所屬主管機關為教育部者，向中央主管機關申評會提起之申訴，以再申訴論。</w:t>
      </w:r>
    </w:p>
    <w:p w:rsidR="000F1BA6" w:rsidRDefault="008D633A">
      <w:pPr>
        <w:pStyle w:val="Standard"/>
        <w:widowControl/>
        <w:numPr>
          <w:ilvl w:val="0"/>
          <w:numId w:val="3"/>
        </w:numPr>
        <w:tabs>
          <w:tab w:val="left" w:pos="1107"/>
          <w:tab w:val="left" w:pos="1625"/>
          <w:tab w:val="left" w:pos="1985"/>
          <w:tab w:val="left" w:pos="3555"/>
          <w:tab w:val="left" w:pos="4471"/>
          <w:tab w:val="left" w:pos="5387"/>
          <w:tab w:val="left" w:pos="6303"/>
          <w:tab w:val="left" w:pos="7219"/>
          <w:tab w:val="left" w:pos="8135"/>
          <w:tab w:val="left" w:pos="9051"/>
          <w:tab w:val="left" w:pos="9967"/>
          <w:tab w:val="left" w:pos="10883"/>
          <w:tab w:val="left" w:pos="11799"/>
          <w:tab w:val="left" w:pos="12715"/>
          <w:tab w:val="left" w:pos="13631"/>
          <w:tab w:val="left" w:pos="14547"/>
          <w:tab w:val="left" w:pos="15463"/>
        </w:tabs>
        <w:overflowPunct w:val="0"/>
        <w:spacing w:line="360" w:lineRule="exact"/>
        <w:ind w:left="1985" w:hanging="567"/>
      </w:pPr>
      <w:r>
        <w:rPr>
          <w:rFonts w:ascii="標楷體" w:eastAsia="標楷體" w:hAnsi="標楷體" w:cs="細明體"/>
          <w:kern w:val="0"/>
          <w:sz w:val="28"/>
          <w:szCs w:val="28"/>
        </w:rPr>
        <w:t>對於縣（市）主管教育行政機關之措施不服者，向縣（市）主管機關申評會提起申訴；如不服其評議決定者，向省主管機關申評會提起再申訴。</w:t>
      </w:r>
    </w:p>
    <w:p w:rsidR="000F1BA6" w:rsidRDefault="008D633A">
      <w:pPr>
        <w:pStyle w:val="Standard"/>
        <w:widowControl/>
        <w:numPr>
          <w:ilvl w:val="0"/>
          <w:numId w:val="3"/>
        </w:numPr>
        <w:tabs>
          <w:tab w:val="left" w:pos="1107"/>
          <w:tab w:val="left" w:pos="1625"/>
          <w:tab w:val="left" w:pos="1985"/>
          <w:tab w:val="left" w:pos="3555"/>
          <w:tab w:val="left" w:pos="4471"/>
          <w:tab w:val="left" w:pos="5387"/>
          <w:tab w:val="left" w:pos="6303"/>
          <w:tab w:val="left" w:pos="7219"/>
          <w:tab w:val="left" w:pos="8135"/>
          <w:tab w:val="left" w:pos="9051"/>
          <w:tab w:val="left" w:pos="9967"/>
          <w:tab w:val="left" w:pos="10883"/>
          <w:tab w:val="left" w:pos="11799"/>
          <w:tab w:val="left" w:pos="12715"/>
          <w:tab w:val="left" w:pos="13631"/>
          <w:tab w:val="left" w:pos="14547"/>
          <w:tab w:val="left" w:pos="15463"/>
        </w:tabs>
        <w:overflowPunct w:val="0"/>
        <w:spacing w:line="360" w:lineRule="exact"/>
        <w:ind w:left="1985" w:hanging="567"/>
      </w:pPr>
      <w:r>
        <w:rPr>
          <w:rFonts w:ascii="標楷體" w:eastAsia="標楷體" w:hAnsi="標楷體" w:cs="細明體"/>
          <w:kern w:val="0"/>
          <w:sz w:val="28"/>
          <w:szCs w:val="28"/>
        </w:rPr>
        <w:t>對於直轄市主管教育行政機關之措施不服者，向直轄市主管機關申評會提起申訴；如不服其評議決定者，向中央主管機關申評會提起再申訴。</w:t>
      </w:r>
    </w:p>
    <w:p w:rsidR="000F1BA6" w:rsidRDefault="008D633A">
      <w:pPr>
        <w:pStyle w:val="Standard"/>
        <w:widowControl/>
        <w:numPr>
          <w:ilvl w:val="0"/>
          <w:numId w:val="3"/>
        </w:numPr>
        <w:tabs>
          <w:tab w:val="left" w:pos="1107"/>
          <w:tab w:val="left" w:pos="1625"/>
          <w:tab w:val="left" w:pos="1985"/>
          <w:tab w:val="left" w:pos="3555"/>
          <w:tab w:val="left" w:pos="4471"/>
          <w:tab w:val="left" w:pos="5387"/>
          <w:tab w:val="left" w:pos="6303"/>
          <w:tab w:val="left" w:pos="7219"/>
          <w:tab w:val="left" w:pos="8135"/>
          <w:tab w:val="left" w:pos="9051"/>
          <w:tab w:val="left" w:pos="9967"/>
          <w:tab w:val="left" w:pos="10883"/>
          <w:tab w:val="left" w:pos="11799"/>
          <w:tab w:val="left" w:pos="12715"/>
          <w:tab w:val="left" w:pos="13631"/>
          <w:tab w:val="left" w:pos="14547"/>
          <w:tab w:val="left" w:pos="15463"/>
        </w:tabs>
        <w:overflowPunct w:val="0"/>
        <w:spacing w:line="360" w:lineRule="exact"/>
        <w:ind w:left="1985" w:hanging="567"/>
      </w:pPr>
      <w:r>
        <w:rPr>
          <w:rFonts w:ascii="標楷體" w:eastAsia="標楷體" w:hAnsi="標楷體" w:cs="細明體"/>
          <w:kern w:val="0"/>
          <w:sz w:val="28"/>
          <w:szCs w:val="28"/>
        </w:rPr>
        <w:t>對於教育部之措施不服者，向中央主管機關申評會提起申訴，並以再</w:t>
      </w:r>
      <w:r>
        <w:rPr>
          <w:rFonts w:ascii="標楷體" w:eastAsia="標楷體" w:hAnsi="標楷體" w:cs="細明體"/>
          <w:kern w:val="0"/>
          <w:sz w:val="28"/>
          <w:szCs w:val="28"/>
        </w:rPr>
        <w:t>申訴論。</w:t>
      </w:r>
    </w:p>
    <w:p w:rsidR="000F1BA6" w:rsidRDefault="008D633A">
      <w:pPr>
        <w:pStyle w:val="Standard"/>
        <w:widowControl/>
        <w:tabs>
          <w:tab w:val="left" w:pos="708"/>
          <w:tab w:val="left" w:pos="2114"/>
          <w:tab w:val="left" w:pos="3030"/>
          <w:tab w:val="left" w:pos="3946"/>
          <w:tab w:val="left" w:pos="4862"/>
          <w:tab w:val="left" w:pos="5778"/>
          <w:tab w:val="left" w:pos="6694"/>
          <w:tab w:val="left" w:pos="7610"/>
          <w:tab w:val="left" w:pos="8526"/>
          <w:tab w:val="left" w:pos="9442"/>
          <w:tab w:val="left" w:pos="10358"/>
          <w:tab w:val="left" w:pos="11274"/>
          <w:tab w:val="left" w:pos="12190"/>
          <w:tab w:val="left" w:pos="13106"/>
          <w:tab w:val="left" w:pos="14022"/>
          <w:tab w:val="left" w:pos="14938"/>
        </w:tabs>
        <w:overflowPunct w:val="0"/>
        <w:spacing w:line="360" w:lineRule="exact"/>
        <w:ind w:left="850" w:firstLine="567"/>
      </w:pPr>
      <w:r>
        <w:rPr>
          <w:rFonts w:ascii="標楷體" w:eastAsia="標楷體" w:hAnsi="標楷體" w:cs="細明體"/>
          <w:kern w:val="0"/>
          <w:sz w:val="28"/>
          <w:szCs w:val="28"/>
        </w:rPr>
        <w:t>省主管機關依前項第二款及第三款規定辦理再申訴業務</w:t>
      </w:r>
      <w:r>
        <w:rPr>
          <w:rFonts w:ascii="標楷體" w:eastAsia="標楷體" w:hAnsi="標楷體" w:cs="細明體"/>
          <w:kern w:val="0"/>
          <w:sz w:val="28"/>
          <w:szCs w:val="28"/>
        </w:rPr>
        <w:t>，得委託中央主管機關為之。</w:t>
      </w:r>
    </w:p>
    <w:p w:rsidR="000F1BA6" w:rsidRDefault="008D633A">
      <w:pPr>
        <w:pStyle w:val="Standard"/>
        <w:overflowPunct w:val="0"/>
        <w:spacing w:line="360" w:lineRule="exact"/>
        <w:ind w:left="850" w:firstLine="567"/>
      </w:pPr>
      <w:r>
        <w:rPr>
          <w:rFonts w:ascii="標楷體" w:eastAsia="標楷體" w:hAnsi="標楷體" w:cs="細明體"/>
          <w:kern w:val="0"/>
          <w:sz w:val="28"/>
          <w:szCs w:val="28"/>
        </w:rPr>
        <w:t>第一項第一款之學校停辦時，由中央主管機關申評會依再申訴程序辦理，並</w:t>
      </w:r>
      <w:r>
        <w:rPr>
          <w:rFonts w:ascii="標楷體" w:eastAsia="標楷體" w:hAnsi="標楷體" w:cs="新細明體"/>
          <w:kern w:val="0"/>
          <w:sz w:val="28"/>
          <w:szCs w:val="28"/>
        </w:rPr>
        <w:t>於再申訴評議書中載明以再申訴程序辦理之理由。</w:t>
      </w:r>
    </w:p>
    <w:p w:rsidR="000F1BA6" w:rsidRDefault="008D633A">
      <w:pPr>
        <w:pStyle w:val="Standard"/>
        <w:tabs>
          <w:tab w:val="left" w:pos="1587"/>
          <w:tab w:val="left" w:pos="1757"/>
          <w:tab w:val="left" w:pos="2037"/>
          <w:tab w:val="left" w:pos="2327"/>
          <w:tab w:val="left" w:pos="2347"/>
          <w:tab w:val="left" w:pos="2377"/>
          <w:tab w:val="left" w:pos="2497"/>
          <w:tab w:val="left" w:pos="2547"/>
        </w:tabs>
        <w:overflowPunct w:val="0"/>
        <w:spacing w:line="360" w:lineRule="exact"/>
        <w:ind w:left="1417" w:hanging="1417"/>
      </w:pPr>
      <w:r>
        <w:rPr>
          <w:rFonts w:eastAsia="標楷體"/>
          <w:kern w:val="0"/>
          <w:sz w:val="28"/>
          <w:szCs w:val="28"/>
        </w:rPr>
        <w:t>第三十二條</w:t>
      </w:r>
      <w:r>
        <w:rPr>
          <w:rFonts w:eastAsia="標楷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申評會委員會議之評議決定，以徵詢無異議、舉手或無記名投票表決方式為之，其評議經過及個別委員意見應對外嚴守秘密。</w:t>
      </w:r>
    </w:p>
    <w:p w:rsidR="000F1BA6" w:rsidRDefault="008D633A">
      <w:pPr>
        <w:pStyle w:val="Standard"/>
        <w:tabs>
          <w:tab w:val="left" w:pos="1697"/>
        </w:tabs>
        <w:overflowPunct w:val="0"/>
        <w:spacing w:line="360" w:lineRule="exact"/>
        <w:ind w:left="1417" w:firstLine="567"/>
      </w:pPr>
      <w:r>
        <w:rPr>
          <w:rFonts w:ascii="標楷體" w:eastAsia="標楷體" w:hAnsi="標楷體"/>
          <w:sz w:val="28"/>
          <w:szCs w:val="28"/>
        </w:rPr>
        <w:t>前項表決方式及表決結果應載明於當次會議紀錄；採投票表決者，表決票應當場封緘，經會議主席及委員推選之監票委員簽名，由申評會妥當保存。</w:t>
      </w:r>
    </w:p>
    <w:sectPr w:rsidR="000F1BA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3A" w:rsidRDefault="008D633A">
      <w:r>
        <w:separator/>
      </w:r>
    </w:p>
  </w:endnote>
  <w:endnote w:type="continuationSeparator" w:id="0">
    <w:p w:rsidR="008D633A" w:rsidRDefault="008D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3A" w:rsidRDefault="008D633A">
      <w:r>
        <w:rPr>
          <w:color w:val="000000"/>
        </w:rPr>
        <w:separator/>
      </w:r>
    </w:p>
  </w:footnote>
  <w:footnote w:type="continuationSeparator" w:id="0">
    <w:p w:rsidR="008D633A" w:rsidRDefault="008D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23929"/>
    <w:multiLevelType w:val="multilevel"/>
    <w:tmpl w:val="3B78DEDE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DCB26B4"/>
    <w:multiLevelType w:val="multilevel"/>
    <w:tmpl w:val="F7E6D61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DE63F1B"/>
    <w:multiLevelType w:val="multilevel"/>
    <w:tmpl w:val="39E2015C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1BA6"/>
    <w:rsid w:val="000F1BA6"/>
    <w:rsid w:val="004F2735"/>
    <w:rsid w:val="008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Textbody"/>
    <w:rPr>
      <w:rFonts w:ascii="Calibri Light" w:eastAsia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Textbody"/>
    <w:rPr>
      <w:rFonts w:ascii="Calibri Light" w:eastAsia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5945;&#24107;&#30003;&#35380;&#35413;&#35696;&#22996;&#21729;&#26371;&#32068;&#32340;&#21450;&#35413;&#35696;&#28310;&#21063;9.32%20&#20462;&#27491;&#26781;&#25991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邱怡靜</dc:creator>
  <cp:lastModifiedBy>user</cp:lastModifiedBy>
  <cp:revision>1</cp:revision>
  <cp:lastPrinted>2018-07-12T15:27:00Z</cp:lastPrinted>
  <dcterms:created xsi:type="dcterms:W3CDTF">2018-07-06T02:21:00Z</dcterms:created>
  <dcterms:modified xsi:type="dcterms:W3CDTF">2018-07-17T08:12:00Z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