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44" w:rsidRPr="000737BB" w:rsidRDefault="00AB092B" w:rsidP="00D31A3C">
      <w:pPr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0737BB">
        <w:rPr>
          <w:rFonts w:ascii="標楷體" w:eastAsia="標楷體" w:hAnsi="標楷體" w:hint="eastAsia"/>
          <w:sz w:val="20"/>
          <w:szCs w:val="20"/>
        </w:rPr>
        <w:t>附件</w:t>
      </w:r>
      <w:r w:rsidR="00CE25E4">
        <w:rPr>
          <w:rFonts w:ascii="標楷體" w:eastAsia="標楷體" w:hAnsi="標楷體" w:hint="eastAsia"/>
          <w:sz w:val="20"/>
          <w:szCs w:val="20"/>
        </w:rPr>
        <w:t>1</w:t>
      </w:r>
    </w:p>
    <w:p w:rsidR="00AB092B" w:rsidRPr="00F66707" w:rsidRDefault="00DC4880" w:rsidP="00F66707">
      <w:pPr>
        <w:ind w:leftChars="-295" w:left="-141" w:rightChars="-378" w:right="-907" w:hangingChars="177" w:hanging="567"/>
        <w:jc w:val="right"/>
        <w:rPr>
          <w:rFonts w:ascii="標楷體" w:eastAsia="標楷體" w:hAnsi="標楷體"/>
          <w:b/>
          <w:spacing w:val="-20"/>
          <w:sz w:val="36"/>
          <w:szCs w:val="36"/>
        </w:rPr>
      </w:pPr>
      <w:r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公務人員考試錄取受訓人員一般團體保險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給付額度上限</w:t>
      </w:r>
      <w:r w:rsidR="005F2D04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及費率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一覽表</w:t>
      </w:r>
    </w:p>
    <w:tbl>
      <w:tblPr>
        <w:tblW w:w="978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638"/>
        <w:gridCol w:w="1365"/>
        <w:gridCol w:w="1391"/>
        <w:gridCol w:w="1320"/>
        <w:gridCol w:w="1373"/>
      </w:tblGrid>
      <w:tr w:rsidR="00AB092B" w:rsidRPr="00AB092B" w:rsidTr="000A330D">
        <w:trPr>
          <w:trHeight w:val="11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考試等級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支領津貼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24歲（含）以下未參加國民年金保險者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25歲（含）以上參加國民年金保險者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F66707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</w:t>
            </w:r>
            <w:r w:rsidR="004E5F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（12個月）</w:t>
            </w:r>
          </w:p>
        </w:tc>
        <w:tc>
          <w:tcPr>
            <w:tcW w:w="13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4E5F1A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年繳保費（12個月）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高考一級或一等考試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8本4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(490俸點)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900,000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DD5511" w:rsidP="00DD551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高考二級或二等考試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6本3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(415俸點)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高考三級或三等考試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5本5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(370俸點)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620,000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1451D4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51D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普通考試或四等考試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(280俸點)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500,000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420,000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初等考試或五等考試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(160俸點)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220,000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1451D4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</w:tr>
    </w:tbl>
    <w:p w:rsidR="00D31A3C" w:rsidRDefault="00D31A3C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p w:rsidR="005F2D04" w:rsidRDefault="00F66707" w:rsidP="00680E74">
      <w:pPr>
        <w:spacing w:line="320" w:lineRule="exact"/>
        <w:ind w:leftChars="-119" w:left="-284" w:rightChars="-375" w:right="-900" w:hanging="2"/>
        <w:rPr>
          <w:rFonts w:asciiTheme="minorEastAsia" w:hAnsiTheme="minor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未滿1年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投保保費依金融監督管理委員會核定之年繳短期費率表(如下表)換算</w:t>
      </w:r>
    </w:p>
    <w:p w:rsid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bookmarkStart w:id="1" w:name="OLE_LINK3"/>
            <w:bookmarkStart w:id="2" w:name="OLE_LINK4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個月</w:t>
            </w:r>
          </w:p>
        </w:tc>
      </w:tr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對年繳保費比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15%</w:t>
            </w:r>
          </w:p>
        </w:tc>
      </w:tr>
    </w:tbl>
    <w:bookmarkEnd w:id="1"/>
    <w:bookmarkEnd w:id="2"/>
    <w:p w:rsidR="005F2D04" w:rsidRPr="00BA525E" w:rsidRDefault="005F2D04" w:rsidP="00C51CB7">
      <w:pPr>
        <w:tabs>
          <w:tab w:val="left" w:pos="600"/>
        </w:tabs>
        <w:spacing w:line="400" w:lineRule="exact"/>
        <w:ind w:leftChars="-236" w:left="1265" w:rightChars="-139" w:right="-334" w:hangingChars="654" w:hanging="18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保費計算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範例:</w:t>
      </w:r>
      <w:r w:rsidR="00892193" w:rsidRPr="00892193">
        <w:rPr>
          <w:rFonts w:hint="eastAsia"/>
        </w:rPr>
        <w:t xml:space="preserve"> </w:t>
      </w:r>
      <w:r w:rsidR="00892193" w:rsidRPr="00892193">
        <w:rPr>
          <w:rFonts w:ascii="標楷體" w:eastAsia="標楷體" w:hAnsi="標楷體" w:hint="eastAsia"/>
          <w:color w:val="000000"/>
          <w:sz w:val="28"/>
          <w:szCs w:val="28"/>
        </w:rPr>
        <w:t>104年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公務人員</w:t>
      </w:r>
      <w:r w:rsidR="00892193" w:rsidRPr="00892193">
        <w:rPr>
          <w:rFonts w:ascii="標楷體" w:eastAsia="標楷體" w:hAnsi="標楷體" w:hint="eastAsia"/>
          <w:color w:val="000000"/>
          <w:sz w:val="28"/>
          <w:szCs w:val="28"/>
        </w:rPr>
        <w:t>考試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等考試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三級考試</w:t>
      </w:r>
      <w:r w:rsidR="00ED769A">
        <w:rPr>
          <w:rFonts w:ascii="標楷體" w:eastAsia="標楷體" w:hAnsi="標楷體" w:hint="eastAsia"/>
          <w:color w:val="000000"/>
          <w:sz w:val="28"/>
          <w:szCs w:val="28"/>
        </w:rPr>
        <w:t>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人員(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24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歲（含）以下未參加國民年金保險者)/保險最高給付額度上限</w:t>
      </w:r>
      <w:r w:rsidR="00ED769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0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萬/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年期保費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139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倘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該員投保</w:t>
      </w:r>
      <w:r w:rsidR="008C7A0F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個月，則投保保費係為新臺幣$</w:t>
      </w:r>
      <w:r w:rsidR="003419F4">
        <w:rPr>
          <w:rFonts w:ascii="標楷體" w:eastAsia="標楷體" w:hAnsi="標楷體"/>
          <w:color w:val="000000"/>
          <w:sz w:val="28"/>
          <w:szCs w:val="28"/>
        </w:rPr>
        <w:t>63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5F2D04" w:rsidRP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sectPr w:rsidR="005F2D04" w:rsidRPr="005F2D04" w:rsidSect="000A330D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35" w:rsidRDefault="00710435" w:rsidP="00985C48">
      <w:r>
        <w:separator/>
      </w:r>
    </w:p>
  </w:endnote>
  <w:endnote w:type="continuationSeparator" w:id="0">
    <w:p w:rsidR="00710435" w:rsidRDefault="00710435" w:rsidP="0098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35" w:rsidRDefault="00710435" w:rsidP="00985C48">
      <w:r>
        <w:separator/>
      </w:r>
    </w:p>
  </w:footnote>
  <w:footnote w:type="continuationSeparator" w:id="0">
    <w:p w:rsidR="00710435" w:rsidRDefault="00710435" w:rsidP="0098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0314"/>
    <w:multiLevelType w:val="hybridMultilevel"/>
    <w:tmpl w:val="535A2382"/>
    <w:lvl w:ilvl="0" w:tplc="859A037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2B"/>
    <w:rsid w:val="000117DE"/>
    <w:rsid w:val="000459B2"/>
    <w:rsid w:val="000737BB"/>
    <w:rsid w:val="000A330D"/>
    <w:rsid w:val="00134385"/>
    <w:rsid w:val="001451D4"/>
    <w:rsid w:val="00160F44"/>
    <w:rsid w:val="00161A33"/>
    <w:rsid w:val="00177DAB"/>
    <w:rsid w:val="00193E93"/>
    <w:rsid w:val="002C0055"/>
    <w:rsid w:val="002D06C5"/>
    <w:rsid w:val="003419F4"/>
    <w:rsid w:val="00354F80"/>
    <w:rsid w:val="00380168"/>
    <w:rsid w:val="00392FC3"/>
    <w:rsid w:val="003B6490"/>
    <w:rsid w:val="0048167A"/>
    <w:rsid w:val="004E5F1A"/>
    <w:rsid w:val="005800C4"/>
    <w:rsid w:val="005F2D04"/>
    <w:rsid w:val="00680E74"/>
    <w:rsid w:val="006A52BF"/>
    <w:rsid w:val="006C7B6A"/>
    <w:rsid w:val="00710435"/>
    <w:rsid w:val="00711913"/>
    <w:rsid w:val="007370A2"/>
    <w:rsid w:val="007572C7"/>
    <w:rsid w:val="00777D18"/>
    <w:rsid w:val="0078553F"/>
    <w:rsid w:val="007F67A0"/>
    <w:rsid w:val="00855727"/>
    <w:rsid w:val="00875C2E"/>
    <w:rsid w:val="00892193"/>
    <w:rsid w:val="008C7A0F"/>
    <w:rsid w:val="009811F2"/>
    <w:rsid w:val="00985C48"/>
    <w:rsid w:val="00A72720"/>
    <w:rsid w:val="00A7627A"/>
    <w:rsid w:val="00AB092B"/>
    <w:rsid w:val="00AC7EF9"/>
    <w:rsid w:val="00AD5F86"/>
    <w:rsid w:val="00B4596A"/>
    <w:rsid w:val="00BC1210"/>
    <w:rsid w:val="00BE617C"/>
    <w:rsid w:val="00C51CB7"/>
    <w:rsid w:val="00CE25E4"/>
    <w:rsid w:val="00D31A3C"/>
    <w:rsid w:val="00DA676F"/>
    <w:rsid w:val="00DC4880"/>
    <w:rsid w:val="00DD5511"/>
    <w:rsid w:val="00E038BD"/>
    <w:rsid w:val="00E23BA9"/>
    <w:rsid w:val="00EA309B"/>
    <w:rsid w:val="00ED769A"/>
    <w:rsid w:val="00F51656"/>
    <w:rsid w:val="00F66707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3338E1-BCF9-45B5-9D98-E50E107E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蘇慧儀</cp:lastModifiedBy>
  <cp:revision>2</cp:revision>
  <cp:lastPrinted>2013-12-11T03:44:00Z</cp:lastPrinted>
  <dcterms:created xsi:type="dcterms:W3CDTF">2016-01-30T03:18:00Z</dcterms:created>
  <dcterms:modified xsi:type="dcterms:W3CDTF">2016-01-30T03:18:00Z</dcterms:modified>
</cp:coreProperties>
</file>