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A8" w:rsidRPr="00DF7AA8" w:rsidRDefault="00DF7AA8" w:rsidP="00B26991">
      <w:pPr>
        <w:kinsoku w:val="0"/>
        <w:overflowPunct w:val="0"/>
        <w:autoSpaceDE w:val="0"/>
        <w:autoSpaceDN w:val="0"/>
        <w:spacing w:line="460" w:lineRule="exact"/>
        <w:jc w:val="center"/>
        <w:rPr>
          <w:rFonts w:ascii="標楷體" w:eastAsia="標楷體" w:hAnsi="標楷體" w:cs="標楷體"/>
          <w:b/>
          <w:bCs/>
          <w:color w:val="000000"/>
          <w:sz w:val="36"/>
          <w:szCs w:val="32"/>
        </w:rPr>
      </w:pPr>
      <w:bookmarkStart w:id="0" w:name="_GoBack"/>
      <w:bookmarkEnd w:id="0"/>
      <w:r w:rsidRPr="00DF7AA8">
        <w:rPr>
          <w:rFonts w:ascii="標楷體" w:eastAsia="標楷體" w:hAnsi="標楷體" w:cs="標楷體" w:hint="eastAsia"/>
          <w:b/>
          <w:bCs/>
          <w:color w:val="000000"/>
          <w:sz w:val="36"/>
          <w:szCs w:val="32"/>
        </w:rPr>
        <w:t>公務人員保障法修正</w:t>
      </w:r>
      <w:r w:rsidR="001C1CD3">
        <w:rPr>
          <w:rFonts w:ascii="標楷體" w:eastAsia="標楷體" w:hAnsi="標楷體" w:cs="標楷體" w:hint="eastAsia"/>
          <w:b/>
          <w:bCs/>
          <w:color w:val="000000"/>
          <w:sz w:val="36"/>
          <w:szCs w:val="32"/>
        </w:rPr>
        <w:t>意</w:t>
      </w:r>
      <w:r w:rsidR="001C1CD3">
        <w:rPr>
          <w:rFonts w:ascii="標楷體" w:eastAsia="標楷體" w:hAnsi="標楷體" w:cs="標楷體"/>
          <w:b/>
          <w:bCs/>
          <w:color w:val="000000"/>
          <w:sz w:val="36"/>
          <w:szCs w:val="32"/>
        </w:rPr>
        <w:t>見調查表</w:t>
      </w:r>
    </w:p>
    <w:p w:rsidR="00DF7AA8" w:rsidRDefault="001C1CD3" w:rsidP="00926C43">
      <w:pPr>
        <w:kinsoku w:val="0"/>
        <w:overflowPunct w:val="0"/>
        <w:autoSpaceDE w:val="0"/>
        <w:autoSpaceDN w:val="0"/>
        <w:spacing w:beforeLines="100" w:line="460" w:lineRule="exact"/>
        <w:rPr>
          <w:rFonts w:ascii="標楷體" w:eastAsia="標楷體" w:hAnsi="標楷體" w:cs="標楷體"/>
          <w:b/>
          <w:bCs/>
          <w:color w:val="000000"/>
          <w:sz w:val="32"/>
          <w:szCs w:val="32"/>
        </w:rPr>
      </w:pPr>
      <w:r>
        <w:rPr>
          <w:rFonts w:ascii="標楷體" w:eastAsia="標楷體" w:hAnsi="標楷體" w:cs="標楷體" w:hint="eastAsia"/>
          <w:b/>
          <w:bCs/>
          <w:color w:val="000000"/>
          <w:sz w:val="32"/>
          <w:szCs w:val="32"/>
        </w:rPr>
        <w:t>提案</w:t>
      </w:r>
      <w:r w:rsidR="00DF7AA8">
        <w:rPr>
          <w:rFonts w:ascii="標楷體" w:eastAsia="標楷體" w:hAnsi="標楷體" w:cs="標楷體"/>
          <w:b/>
          <w:bCs/>
          <w:color w:val="000000"/>
          <w:sz w:val="32"/>
          <w:szCs w:val="32"/>
        </w:rPr>
        <w:t>機關</w:t>
      </w:r>
      <w:r w:rsidR="00DF7AA8">
        <w:rPr>
          <w:rFonts w:ascii="標楷體" w:eastAsia="標楷體" w:hAnsi="標楷體" w:cs="標楷體" w:hint="eastAsia"/>
          <w:b/>
          <w:bCs/>
          <w:color w:val="000000"/>
          <w:sz w:val="32"/>
          <w:szCs w:val="32"/>
        </w:rPr>
        <w:t>︰__________________</w:t>
      </w:r>
      <w:r w:rsidR="00DF7AA8">
        <w:rPr>
          <w:rFonts w:ascii="標楷體" w:eastAsia="標楷體" w:hAnsi="標楷體" w:cs="標楷體"/>
          <w:b/>
          <w:bCs/>
          <w:color w:val="000000"/>
          <w:sz w:val="32"/>
          <w:szCs w:val="32"/>
        </w:rPr>
        <w:t>____________</w:t>
      </w:r>
    </w:p>
    <w:p w:rsidR="00DF7AA8" w:rsidRDefault="00DF7AA8" w:rsidP="00926C43">
      <w:pPr>
        <w:kinsoku w:val="0"/>
        <w:overflowPunct w:val="0"/>
        <w:autoSpaceDE w:val="0"/>
        <w:autoSpaceDN w:val="0"/>
        <w:spacing w:beforeLines="100" w:line="460" w:lineRule="exact"/>
        <w:rPr>
          <w:rFonts w:ascii="標楷體" w:eastAsia="標楷體" w:hAnsi="標楷體" w:cs="標楷體"/>
          <w:b/>
          <w:bCs/>
          <w:color w:val="000000"/>
          <w:sz w:val="32"/>
          <w:szCs w:val="32"/>
        </w:rPr>
      </w:pPr>
      <w:r>
        <w:rPr>
          <w:rFonts w:ascii="標楷體" w:eastAsia="標楷體" w:hAnsi="標楷體" w:cs="標楷體" w:hint="eastAsia"/>
          <w:b/>
          <w:bCs/>
          <w:color w:val="000000"/>
          <w:sz w:val="32"/>
          <w:szCs w:val="32"/>
        </w:rPr>
        <w:t>聯</w:t>
      </w:r>
      <w:r>
        <w:rPr>
          <w:rFonts w:ascii="標楷體" w:eastAsia="標楷體" w:hAnsi="標楷體" w:cs="標楷體"/>
          <w:b/>
          <w:bCs/>
          <w:color w:val="000000"/>
          <w:sz w:val="32"/>
          <w:szCs w:val="32"/>
        </w:rPr>
        <w:t>絡人︰</w:t>
      </w:r>
      <w:r>
        <w:rPr>
          <w:rFonts w:ascii="標楷體" w:eastAsia="標楷體" w:hAnsi="標楷體" w:cs="標楷體" w:hint="eastAsia"/>
          <w:b/>
          <w:bCs/>
          <w:color w:val="000000"/>
          <w:sz w:val="32"/>
          <w:szCs w:val="32"/>
        </w:rPr>
        <w:t>__________________</w:t>
      </w:r>
      <w:r>
        <w:rPr>
          <w:rFonts w:ascii="標楷體" w:eastAsia="標楷體" w:hAnsi="標楷體" w:cs="標楷體"/>
          <w:b/>
          <w:bCs/>
          <w:color w:val="000000"/>
          <w:sz w:val="32"/>
          <w:szCs w:val="32"/>
        </w:rPr>
        <w:t xml:space="preserve">   電話︰</w:t>
      </w:r>
      <w:r>
        <w:rPr>
          <w:rFonts w:ascii="標楷體" w:eastAsia="標楷體" w:hAnsi="標楷體" w:cs="標楷體" w:hint="eastAsia"/>
          <w:b/>
          <w:bCs/>
          <w:color w:val="000000"/>
          <w:sz w:val="32"/>
          <w:szCs w:val="32"/>
        </w:rPr>
        <w:t>_______________</w:t>
      </w:r>
    </w:p>
    <w:p w:rsidR="00DF7AA8" w:rsidRDefault="00DF7AA8" w:rsidP="00926C43">
      <w:pPr>
        <w:kinsoku w:val="0"/>
        <w:overflowPunct w:val="0"/>
        <w:autoSpaceDE w:val="0"/>
        <w:autoSpaceDN w:val="0"/>
        <w:spacing w:beforeLines="100" w:line="460" w:lineRule="exact"/>
        <w:rPr>
          <w:rFonts w:ascii="標楷體" w:eastAsia="標楷體" w:hAnsi="標楷體" w:cs="標楷體"/>
          <w:b/>
          <w:bCs/>
          <w:color w:val="000000"/>
          <w:sz w:val="32"/>
          <w:szCs w:val="32"/>
        </w:rPr>
      </w:pPr>
      <w:r>
        <w:rPr>
          <w:rFonts w:ascii="標楷體" w:eastAsia="標楷體" w:hAnsi="標楷體" w:cs="標楷體" w:hint="eastAsia"/>
          <w:b/>
          <w:bCs/>
          <w:color w:val="000000"/>
          <w:sz w:val="32"/>
          <w:szCs w:val="32"/>
        </w:rPr>
        <w:t>電</w:t>
      </w:r>
      <w:r>
        <w:rPr>
          <w:rFonts w:ascii="標楷體" w:eastAsia="標楷體" w:hAnsi="標楷體" w:cs="標楷體"/>
          <w:b/>
          <w:bCs/>
          <w:color w:val="000000"/>
          <w:sz w:val="32"/>
          <w:szCs w:val="32"/>
        </w:rPr>
        <w:t>子信箱︰</w:t>
      </w:r>
      <w:r>
        <w:rPr>
          <w:rFonts w:ascii="標楷體" w:eastAsia="標楷體" w:hAnsi="標楷體" w:cs="標楷體" w:hint="eastAsia"/>
          <w:b/>
          <w:bCs/>
          <w:color w:val="000000"/>
          <w:sz w:val="32"/>
          <w:szCs w:val="32"/>
        </w:rPr>
        <w:t>_________________________________</w:t>
      </w:r>
    </w:p>
    <w:p w:rsidR="00DF7AA8" w:rsidRDefault="001C1CD3" w:rsidP="00926C43">
      <w:pPr>
        <w:pStyle w:val="aa"/>
        <w:numPr>
          <w:ilvl w:val="0"/>
          <w:numId w:val="45"/>
        </w:numPr>
        <w:kinsoku w:val="0"/>
        <w:overflowPunct w:val="0"/>
        <w:autoSpaceDE w:val="0"/>
        <w:autoSpaceDN w:val="0"/>
        <w:spacing w:beforeLines="100" w:line="460" w:lineRule="exact"/>
        <w:ind w:leftChars="0"/>
        <w:rPr>
          <w:rFonts w:ascii="標楷體" w:eastAsia="標楷體" w:hAnsi="標楷體" w:cs="標楷體"/>
          <w:b/>
          <w:bCs/>
          <w:color w:val="000000"/>
          <w:sz w:val="32"/>
          <w:szCs w:val="32"/>
        </w:rPr>
      </w:pPr>
      <w:r w:rsidRPr="001C1CD3">
        <w:rPr>
          <w:rFonts w:ascii="標楷體" w:eastAsia="標楷體" w:hAnsi="標楷體" w:cs="標楷體" w:hint="eastAsia"/>
          <w:b/>
          <w:bCs/>
          <w:color w:val="000000"/>
          <w:sz w:val="32"/>
          <w:szCs w:val="32"/>
        </w:rPr>
        <w:t>原</w:t>
      </w:r>
      <w:r w:rsidRPr="001C1CD3">
        <w:rPr>
          <w:rFonts w:ascii="標楷體" w:eastAsia="標楷體" w:hAnsi="標楷體" w:cs="標楷體"/>
          <w:b/>
          <w:bCs/>
          <w:color w:val="000000"/>
          <w:sz w:val="32"/>
          <w:szCs w:val="32"/>
        </w:rPr>
        <w:t>則性（</w:t>
      </w:r>
      <w:r w:rsidR="00DF7AA8" w:rsidRPr="001C1CD3">
        <w:rPr>
          <w:rFonts w:ascii="標楷體" w:eastAsia="標楷體" w:hAnsi="標楷體" w:cs="標楷體"/>
          <w:b/>
          <w:bCs/>
          <w:color w:val="000000"/>
          <w:sz w:val="32"/>
          <w:szCs w:val="32"/>
        </w:rPr>
        <w:t>整體性</w:t>
      </w:r>
      <w:r w:rsidRPr="001C1CD3">
        <w:rPr>
          <w:rFonts w:ascii="標楷體" w:eastAsia="標楷體" w:hAnsi="標楷體" w:cs="標楷體" w:hint="eastAsia"/>
          <w:b/>
          <w:bCs/>
          <w:color w:val="000000"/>
          <w:sz w:val="32"/>
          <w:szCs w:val="32"/>
        </w:rPr>
        <w:t>）</w:t>
      </w:r>
      <w:r w:rsidR="00B1640B">
        <w:rPr>
          <w:rFonts w:ascii="標楷體" w:eastAsia="標楷體" w:hAnsi="標楷體" w:cs="標楷體" w:hint="eastAsia"/>
          <w:b/>
          <w:bCs/>
          <w:color w:val="000000"/>
          <w:sz w:val="32"/>
          <w:szCs w:val="32"/>
        </w:rPr>
        <w:t>建</w:t>
      </w:r>
      <w:r w:rsidR="00B1640B">
        <w:rPr>
          <w:rFonts w:ascii="標楷體" w:eastAsia="標楷體" w:hAnsi="標楷體" w:cs="標楷體"/>
          <w:b/>
          <w:bCs/>
          <w:color w:val="000000"/>
          <w:sz w:val="32"/>
          <w:szCs w:val="32"/>
        </w:rPr>
        <w:t>議修正</w:t>
      </w:r>
      <w:r w:rsidR="00DF7AA8" w:rsidRPr="001C1CD3">
        <w:rPr>
          <w:rFonts w:ascii="標楷體" w:eastAsia="標楷體" w:hAnsi="標楷體" w:cs="標楷體"/>
          <w:b/>
          <w:bCs/>
          <w:color w:val="000000"/>
          <w:sz w:val="32"/>
          <w:szCs w:val="32"/>
        </w:rPr>
        <w:t>意見</w:t>
      </w:r>
    </w:p>
    <w:tbl>
      <w:tblPr>
        <w:tblStyle w:val="a7"/>
        <w:tblW w:w="0" w:type="auto"/>
        <w:tblInd w:w="720" w:type="dxa"/>
        <w:tblLook w:val="04A0"/>
      </w:tblPr>
      <w:tblGrid>
        <w:gridCol w:w="4508"/>
        <w:gridCol w:w="4509"/>
      </w:tblGrid>
      <w:tr w:rsidR="001C1CD3" w:rsidRPr="005326B5" w:rsidTr="005326B5">
        <w:trPr>
          <w:trHeight w:val="363"/>
        </w:trPr>
        <w:tc>
          <w:tcPr>
            <w:tcW w:w="0" w:type="auto"/>
            <w:vAlign w:val="center"/>
          </w:tcPr>
          <w:p w:rsidR="001C1CD3" w:rsidRPr="005326B5" w:rsidRDefault="001C1CD3" w:rsidP="00B26991">
            <w:pPr>
              <w:kinsoku w:val="0"/>
              <w:overflowPunct w:val="0"/>
              <w:autoSpaceDE w:val="0"/>
              <w:autoSpaceDN w:val="0"/>
              <w:spacing w:line="460" w:lineRule="exact"/>
              <w:jc w:val="distribute"/>
              <w:rPr>
                <w:rFonts w:ascii="標楷體" w:eastAsia="標楷體" w:hAnsi="標楷體" w:cs="標楷體"/>
                <w:b/>
                <w:bCs/>
                <w:color w:val="000000" w:themeColor="text1"/>
                <w:sz w:val="28"/>
                <w:szCs w:val="28"/>
              </w:rPr>
            </w:pPr>
            <w:r w:rsidRPr="005326B5">
              <w:rPr>
                <w:rFonts w:ascii="標楷體" w:eastAsia="標楷體" w:hAnsi="標楷體" w:cs="標楷體" w:hint="eastAsia"/>
                <w:b/>
                <w:bCs/>
                <w:color w:val="000000" w:themeColor="text1"/>
                <w:sz w:val="28"/>
                <w:szCs w:val="28"/>
              </w:rPr>
              <w:t>原則性（整體性）意見</w:t>
            </w:r>
          </w:p>
        </w:tc>
        <w:tc>
          <w:tcPr>
            <w:tcW w:w="4509" w:type="dxa"/>
            <w:vAlign w:val="center"/>
          </w:tcPr>
          <w:p w:rsidR="001C1CD3" w:rsidRPr="005326B5" w:rsidRDefault="001C1CD3" w:rsidP="00B26991">
            <w:pPr>
              <w:kinsoku w:val="0"/>
              <w:overflowPunct w:val="0"/>
              <w:autoSpaceDE w:val="0"/>
              <w:autoSpaceDN w:val="0"/>
              <w:spacing w:line="460" w:lineRule="exact"/>
              <w:jc w:val="distribute"/>
              <w:rPr>
                <w:rFonts w:ascii="標楷體" w:eastAsia="標楷體" w:hAnsi="標楷體" w:cs="標楷體"/>
                <w:b/>
                <w:bCs/>
                <w:color w:val="000000" w:themeColor="text1"/>
                <w:sz w:val="28"/>
                <w:szCs w:val="28"/>
              </w:rPr>
            </w:pPr>
            <w:r w:rsidRPr="005326B5">
              <w:rPr>
                <w:rFonts w:ascii="標楷體" w:eastAsia="標楷體" w:hAnsi="標楷體" w:cs="標楷體" w:hint="eastAsia"/>
                <w:b/>
                <w:bCs/>
                <w:color w:val="000000" w:themeColor="text1"/>
                <w:sz w:val="28"/>
                <w:szCs w:val="28"/>
              </w:rPr>
              <w:t>說明</w:t>
            </w:r>
          </w:p>
        </w:tc>
      </w:tr>
      <w:tr w:rsidR="001C1CD3" w:rsidTr="001C1CD3">
        <w:trPr>
          <w:trHeight w:val="9081"/>
        </w:trPr>
        <w:tc>
          <w:tcPr>
            <w:tcW w:w="4508" w:type="dxa"/>
          </w:tcPr>
          <w:p w:rsidR="001C1CD3" w:rsidRDefault="001C1CD3" w:rsidP="00926C43">
            <w:pPr>
              <w:pStyle w:val="aa"/>
              <w:kinsoku w:val="0"/>
              <w:overflowPunct w:val="0"/>
              <w:autoSpaceDE w:val="0"/>
              <w:autoSpaceDN w:val="0"/>
              <w:spacing w:beforeLines="100" w:line="460" w:lineRule="exact"/>
              <w:ind w:leftChars="0" w:left="0"/>
              <w:rPr>
                <w:rFonts w:ascii="標楷體" w:eastAsia="標楷體" w:hAnsi="標楷體" w:cs="標楷體"/>
                <w:b/>
                <w:bCs/>
                <w:color w:val="000000"/>
                <w:sz w:val="32"/>
                <w:szCs w:val="32"/>
              </w:rPr>
            </w:pPr>
          </w:p>
        </w:tc>
        <w:tc>
          <w:tcPr>
            <w:tcW w:w="4509" w:type="dxa"/>
          </w:tcPr>
          <w:p w:rsidR="001C1CD3" w:rsidRDefault="001C1CD3" w:rsidP="00926C43">
            <w:pPr>
              <w:pStyle w:val="aa"/>
              <w:kinsoku w:val="0"/>
              <w:overflowPunct w:val="0"/>
              <w:autoSpaceDE w:val="0"/>
              <w:autoSpaceDN w:val="0"/>
              <w:spacing w:beforeLines="100" w:line="460" w:lineRule="exact"/>
              <w:ind w:leftChars="0" w:left="0"/>
              <w:rPr>
                <w:rFonts w:ascii="標楷體" w:eastAsia="標楷體" w:hAnsi="標楷體" w:cs="標楷體"/>
                <w:b/>
                <w:bCs/>
                <w:color w:val="000000"/>
                <w:sz w:val="32"/>
                <w:szCs w:val="32"/>
              </w:rPr>
            </w:pPr>
          </w:p>
        </w:tc>
      </w:tr>
    </w:tbl>
    <w:p w:rsidR="005326B5" w:rsidRDefault="005326B5" w:rsidP="00926C43">
      <w:pPr>
        <w:kinsoku w:val="0"/>
        <w:overflowPunct w:val="0"/>
        <w:autoSpaceDE w:val="0"/>
        <w:autoSpaceDN w:val="0"/>
        <w:spacing w:afterLines="50" w:line="460" w:lineRule="exact"/>
        <w:rPr>
          <w:rFonts w:ascii="標楷體" w:eastAsia="標楷體" w:hAnsi="標楷體" w:cs="標楷體"/>
          <w:b/>
          <w:bCs/>
          <w:color w:val="000000"/>
          <w:sz w:val="32"/>
          <w:szCs w:val="32"/>
        </w:rPr>
      </w:pPr>
    </w:p>
    <w:p w:rsidR="00EC379C" w:rsidRPr="00B67841" w:rsidRDefault="00DF7AA8" w:rsidP="00926C43">
      <w:pPr>
        <w:kinsoku w:val="0"/>
        <w:overflowPunct w:val="0"/>
        <w:autoSpaceDE w:val="0"/>
        <w:autoSpaceDN w:val="0"/>
        <w:spacing w:afterLines="50" w:line="460" w:lineRule="exact"/>
        <w:rPr>
          <w:rFonts w:ascii="標楷體" w:eastAsia="標楷體" w:hAnsi="標楷體" w:cs="標楷體"/>
          <w:b/>
          <w:bCs/>
          <w:color w:val="000000"/>
          <w:sz w:val="32"/>
          <w:szCs w:val="32"/>
        </w:rPr>
      </w:pPr>
      <w:r>
        <w:rPr>
          <w:rFonts w:ascii="標楷體" w:eastAsia="標楷體" w:hAnsi="標楷體" w:cs="標楷體" w:hint="eastAsia"/>
          <w:b/>
          <w:bCs/>
          <w:color w:val="000000"/>
          <w:sz w:val="32"/>
          <w:szCs w:val="32"/>
        </w:rPr>
        <w:lastRenderedPageBreak/>
        <w:t>貮︰</w:t>
      </w:r>
      <w:r w:rsidR="00B1640B">
        <w:rPr>
          <w:rFonts w:ascii="標楷體" w:eastAsia="標楷體" w:hAnsi="標楷體" w:cs="標楷體" w:hint="eastAsia"/>
          <w:b/>
          <w:bCs/>
          <w:color w:val="000000"/>
          <w:sz w:val="32"/>
          <w:szCs w:val="32"/>
        </w:rPr>
        <w:t>逐</w:t>
      </w:r>
      <w:r w:rsidR="00B1640B">
        <w:rPr>
          <w:rFonts w:ascii="標楷體" w:eastAsia="標楷體" w:hAnsi="標楷體" w:cs="標楷體"/>
          <w:b/>
          <w:bCs/>
          <w:color w:val="000000"/>
          <w:sz w:val="32"/>
          <w:szCs w:val="32"/>
        </w:rPr>
        <w:t>條建議</w:t>
      </w:r>
      <w:r>
        <w:rPr>
          <w:rFonts w:ascii="標楷體" w:eastAsia="標楷體" w:hAnsi="標楷體" w:cs="標楷體" w:hint="eastAsia"/>
          <w:b/>
          <w:bCs/>
          <w:color w:val="000000"/>
          <w:sz w:val="32"/>
          <w:szCs w:val="32"/>
        </w:rPr>
        <w:t>修</w:t>
      </w:r>
      <w:r>
        <w:rPr>
          <w:rFonts w:ascii="標楷體" w:eastAsia="標楷體" w:hAnsi="標楷體" w:cs="標楷體"/>
          <w:b/>
          <w:bCs/>
          <w:color w:val="000000"/>
          <w:sz w:val="32"/>
          <w:szCs w:val="32"/>
        </w:rPr>
        <w:t>正意見</w:t>
      </w:r>
      <w:r w:rsidR="00CC75C1" w:rsidRPr="00CC75C1">
        <w:rPr>
          <w:noProof/>
        </w:rPr>
        <w:pict>
          <v:shapetype id="_x0000_t202" coordsize="21600,21600" o:spt="202" path="m,l,21600r21600,l21600,xe">
            <v:stroke joinstyle="miter"/>
            <v:path gradientshapeok="t" o:connecttype="rect"/>
          </v:shapetype>
          <v:shape id="Text Box 5" o:spid="_x0000_s1026" type="#_x0000_t202" style="position:absolute;margin-left:620.15pt;margin-top:-8.35pt;width:78.75pt;height:24.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" strokecolor="#c0504d" strokeweight="2.5pt">
            <v:shadow color="#868686"/>
            <v:textbox>
              <w:txbxContent>
                <w:p w:rsidR="0037631F" w:rsidRDefault="0037631F" w:rsidP="001370B2">
                  <w:pPr>
                    <w:jc w:val="right"/>
                    <w:rPr>
                      <w:rFonts w:cs="Times New Roman"/>
                    </w:rPr>
                  </w:pPr>
                  <w:r>
                    <w:t>102.1.15</w:t>
                  </w:r>
                  <w:r>
                    <w:rPr>
                      <w:rFonts w:cs="新細明體" w:hint="eastAsia"/>
                    </w:rPr>
                    <w:t>版</w:t>
                  </w:r>
                </w:p>
              </w:txbxContent>
            </v:textbox>
          </v:shape>
        </w:pict>
      </w:r>
      <w:r w:rsidR="00EC379C" w:rsidRPr="00B67841">
        <w:rPr>
          <w:rFonts w:ascii="標楷體" w:eastAsia="標楷體" w:hAnsi="標楷體" w:cs="標楷體"/>
          <w:b/>
          <w:bCs/>
          <w:color w:val="000000"/>
          <w:sz w:val="32"/>
          <w:szCs w:val="32"/>
        </w:rPr>
        <w:t xml:space="preserve"> </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2"/>
        <w:gridCol w:w="2977"/>
        <w:gridCol w:w="2551"/>
      </w:tblGrid>
      <w:tr w:rsidR="001C1CD3" w:rsidRPr="00D9617F" w:rsidTr="005326B5">
        <w:trPr>
          <w:trHeight w:val="516"/>
          <w:tblHeader/>
        </w:trPr>
        <w:tc>
          <w:tcPr>
            <w:tcW w:w="4212" w:type="dxa"/>
          </w:tcPr>
          <w:p w:rsidR="001C1CD3" w:rsidRPr="00D9617F" w:rsidRDefault="001C1CD3" w:rsidP="00B26991">
            <w:pPr>
              <w:kinsoku w:val="0"/>
              <w:overflowPunct w:val="0"/>
              <w:autoSpaceDE w:val="0"/>
              <w:autoSpaceDN w:val="0"/>
              <w:spacing w:line="460" w:lineRule="exact"/>
              <w:jc w:val="distribute"/>
              <w:rPr>
                <w:rFonts w:ascii="標楷體" w:eastAsia="標楷體" w:hAnsi="標楷體" w:cs="Times New Roman"/>
                <w:b/>
                <w:bCs/>
                <w:color w:val="000000" w:themeColor="text1"/>
                <w:sz w:val="28"/>
                <w:szCs w:val="28"/>
              </w:rPr>
            </w:pPr>
            <w:r w:rsidRPr="00D9617F">
              <w:rPr>
                <w:rFonts w:ascii="標楷體" w:eastAsia="標楷體" w:hAnsi="標楷體" w:cs="標楷體" w:hint="eastAsia"/>
                <w:b/>
                <w:bCs/>
                <w:color w:val="000000" w:themeColor="text1"/>
                <w:sz w:val="28"/>
                <w:szCs w:val="28"/>
              </w:rPr>
              <w:t>現行條文</w:t>
            </w:r>
          </w:p>
        </w:tc>
        <w:tc>
          <w:tcPr>
            <w:tcW w:w="2977" w:type="dxa"/>
          </w:tcPr>
          <w:p w:rsidR="001C1CD3" w:rsidRPr="00D9617F" w:rsidRDefault="00E467D1" w:rsidP="00E467D1">
            <w:pPr>
              <w:kinsoku w:val="0"/>
              <w:overflowPunct w:val="0"/>
              <w:autoSpaceDE w:val="0"/>
              <w:autoSpaceDN w:val="0"/>
              <w:spacing w:line="460" w:lineRule="exact"/>
              <w:jc w:val="distribute"/>
              <w:rPr>
                <w:rFonts w:ascii="標楷體" w:eastAsia="標楷體" w:hAnsi="標楷體" w:cs="Times New Roman"/>
                <w:b/>
                <w:bCs/>
                <w:color w:val="000000" w:themeColor="text1"/>
                <w:sz w:val="28"/>
                <w:szCs w:val="28"/>
              </w:rPr>
            </w:pPr>
            <w:r>
              <w:rPr>
                <w:rFonts w:ascii="標楷體" w:eastAsia="標楷體" w:hAnsi="標楷體" w:cs="Times New Roman" w:hint="eastAsia"/>
                <w:b/>
                <w:bCs/>
                <w:color w:val="000000" w:themeColor="text1"/>
                <w:sz w:val="28"/>
                <w:szCs w:val="28"/>
              </w:rPr>
              <w:t>建</w:t>
            </w:r>
            <w:r w:rsidR="001C1CD3">
              <w:rPr>
                <w:rFonts w:ascii="標楷體" w:eastAsia="標楷體" w:hAnsi="標楷體" w:cs="Times New Roman"/>
                <w:b/>
                <w:bCs/>
                <w:color w:val="000000" w:themeColor="text1"/>
                <w:sz w:val="28"/>
                <w:szCs w:val="28"/>
              </w:rPr>
              <w:t>議修正</w:t>
            </w:r>
            <w:r>
              <w:rPr>
                <w:rFonts w:ascii="標楷體" w:eastAsia="標楷體" w:hAnsi="標楷體" w:cs="Times New Roman" w:hint="eastAsia"/>
                <w:b/>
                <w:bCs/>
                <w:color w:val="000000" w:themeColor="text1"/>
                <w:sz w:val="28"/>
                <w:szCs w:val="28"/>
              </w:rPr>
              <w:t>條</w:t>
            </w:r>
            <w:r w:rsidR="001C1CD3">
              <w:rPr>
                <w:rFonts w:ascii="標楷體" w:eastAsia="標楷體" w:hAnsi="標楷體" w:cs="Times New Roman"/>
                <w:b/>
                <w:bCs/>
                <w:color w:val="000000" w:themeColor="text1"/>
                <w:sz w:val="28"/>
                <w:szCs w:val="28"/>
              </w:rPr>
              <w:t>文</w:t>
            </w:r>
          </w:p>
        </w:tc>
        <w:tc>
          <w:tcPr>
            <w:tcW w:w="2551" w:type="dxa"/>
          </w:tcPr>
          <w:p w:rsidR="001C1CD3" w:rsidRDefault="001C1CD3" w:rsidP="00B26991">
            <w:pPr>
              <w:kinsoku w:val="0"/>
              <w:overflowPunct w:val="0"/>
              <w:autoSpaceDE w:val="0"/>
              <w:autoSpaceDN w:val="0"/>
              <w:spacing w:line="460" w:lineRule="exact"/>
              <w:jc w:val="distribute"/>
              <w:rPr>
                <w:rFonts w:ascii="標楷體" w:eastAsia="標楷體" w:hAnsi="標楷體" w:cs="Times New Roman"/>
                <w:b/>
                <w:bCs/>
                <w:color w:val="000000" w:themeColor="text1"/>
                <w:sz w:val="28"/>
                <w:szCs w:val="28"/>
              </w:rPr>
            </w:pPr>
            <w:r>
              <w:rPr>
                <w:rFonts w:ascii="標楷體" w:eastAsia="標楷體" w:hAnsi="標楷體" w:cs="Times New Roman" w:hint="eastAsia"/>
                <w:b/>
                <w:bCs/>
                <w:color w:val="000000" w:themeColor="text1"/>
                <w:sz w:val="28"/>
                <w:szCs w:val="28"/>
              </w:rPr>
              <w:t>說</w:t>
            </w:r>
            <w:r>
              <w:rPr>
                <w:rFonts w:ascii="標楷體" w:eastAsia="標楷體" w:hAnsi="標楷體" w:cs="Times New Roman"/>
                <w:b/>
                <w:bCs/>
                <w:color w:val="000000" w:themeColor="text1"/>
                <w:sz w:val="28"/>
                <w:szCs w:val="28"/>
              </w:rPr>
              <w:t>明</w:t>
            </w:r>
          </w:p>
        </w:tc>
      </w:tr>
      <w:tr w:rsidR="001C1CD3" w:rsidRPr="00D9617F" w:rsidTr="005326B5">
        <w:trPr>
          <w:trHeight w:val="473"/>
        </w:trPr>
        <w:tc>
          <w:tcPr>
            <w:tcW w:w="4212"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b/>
                <w:bCs/>
                <w:color w:val="000000" w:themeColor="text1"/>
                <w:sz w:val="28"/>
              </w:rPr>
            </w:pPr>
            <w:r w:rsidRPr="00D9617F">
              <w:rPr>
                <w:rFonts w:ascii="標楷體" w:eastAsia="標楷體" w:hAnsi="標楷體" w:cs="Times New Roman" w:hint="eastAsia"/>
                <w:b/>
                <w:bCs/>
                <w:color w:val="000000" w:themeColor="text1"/>
                <w:sz w:val="28"/>
              </w:rPr>
              <w:t>第一章</w:t>
            </w:r>
            <w:r w:rsidRPr="00D9617F">
              <w:rPr>
                <w:rFonts w:ascii="標楷體" w:eastAsia="標楷體" w:hAnsi="標楷體" w:cs="Times New Roman"/>
                <w:b/>
                <w:bCs/>
                <w:color w:val="000000" w:themeColor="text1"/>
                <w:sz w:val="28"/>
              </w:rPr>
              <w:t xml:space="preserve">  </w:t>
            </w:r>
            <w:r w:rsidRPr="00D9617F">
              <w:rPr>
                <w:rFonts w:ascii="標楷體" w:eastAsia="標楷體" w:hAnsi="標楷體" w:cs="Times New Roman" w:hint="eastAsia"/>
                <w:b/>
                <w:bCs/>
                <w:color w:val="000000" w:themeColor="text1"/>
                <w:sz w:val="28"/>
              </w:rPr>
              <w:t>總則</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b/>
                <w:bCs/>
                <w:color w:val="000000" w:themeColor="text1"/>
                <w:sz w:val="28"/>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b/>
                <w:bCs/>
                <w:color w:val="000000" w:themeColor="text1"/>
                <w:sz w:val="28"/>
              </w:rPr>
            </w:pPr>
          </w:p>
        </w:tc>
      </w:tr>
      <w:tr w:rsidR="001C1CD3" w:rsidRPr="00D9617F" w:rsidTr="005326B5">
        <w:trPr>
          <w:trHeight w:val="1110"/>
        </w:trPr>
        <w:tc>
          <w:tcPr>
            <w:tcW w:w="4212" w:type="dxa"/>
          </w:tcPr>
          <w:p w:rsidR="001C1CD3" w:rsidRPr="00D9617F" w:rsidRDefault="001C1CD3" w:rsidP="00E86AED">
            <w:pPr>
              <w:tabs>
                <w:tab w:val="left" w:pos="1094"/>
              </w:tabs>
              <w:kinsoku w:val="0"/>
              <w:overflowPunct w:val="0"/>
              <w:autoSpaceDE w:val="0"/>
              <w:autoSpaceDN w:val="0"/>
              <w:spacing w:line="460" w:lineRule="exact"/>
              <w:ind w:left="240" w:hangingChars="100" w:hanging="240"/>
              <w:jc w:val="both"/>
              <w:rPr>
                <w:rFonts w:ascii="標楷體" w:eastAsia="標楷體" w:hAnsi="標楷體" w:cs="Times New Roman"/>
                <w:b/>
                <w:bCs/>
                <w:color w:val="000000" w:themeColor="text1"/>
                <w:sz w:val="28"/>
                <w:szCs w:val="28"/>
              </w:rPr>
            </w:pPr>
            <w:r w:rsidRPr="00D9617F">
              <w:rPr>
                <w:rFonts w:ascii="標楷體" w:eastAsia="標楷體" w:hAnsi="標楷體" w:cs="標楷體" w:hint="eastAsia"/>
                <w:color w:val="000000" w:themeColor="text1"/>
              </w:rPr>
              <w:t>第一條</w:t>
            </w:r>
            <w:r w:rsidR="00E86AED">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為保障公務人員之權益，特制定本法。本法未規定者，適用其他有關法律之規定。</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sz w:val="28"/>
                <w:szCs w:val="28"/>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sz w:val="28"/>
                <w:szCs w:val="28"/>
              </w:rPr>
            </w:pPr>
          </w:p>
        </w:tc>
      </w:tr>
      <w:tr w:rsidR="001C1CD3" w:rsidRPr="00D9617F" w:rsidTr="005326B5">
        <w:trPr>
          <w:trHeight w:val="1345"/>
        </w:trPr>
        <w:tc>
          <w:tcPr>
            <w:tcW w:w="4212" w:type="dxa"/>
          </w:tcPr>
          <w:p w:rsidR="001C1CD3" w:rsidRPr="001946B2" w:rsidRDefault="001C1CD3" w:rsidP="00E86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spacing w:line="460" w:lineRule="exact"/>
              <w:ind w:left="240" w:hangingChars="100" w:hanging="240"/>
              <w:jc w:val="both"/>
              <w:rPr>
                <w:rFonts w:ascii="標楷體" w:eastAsia="標楷體" w:hAnsi="標楷體" w:cs="Times New Roman"/>
                <w:b/>
                <w:bCs/>
                <w:color w:val="000000" w:themeColor="text1"/>
                <w:sz w:val="28"/>
                <w:szCs w:val="28"/>
              </w:rPr>
            </w:pPr>
            <w:r w:rsidRPr="00D9617F">
              <w:rPr>
                <w:rFonts w:ascii="標楷體" w:eastAsia="標楷體" w:hAnsi="標楷體" w:cs="標楷體" w:hint="eastAsia"/>
                <w:color w:val="000000" w:themeColor="text1"/>
              </w:rPr>
              <w:t>第二條</w:t>
            </w:r>
            <w:r w:rsidR="00E86AED">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公務人員身分、官職等級、俸給、工作條件、管理措施等有關權益之保障，適用本法之規定</w:t>
            </w:r>
            <w:r>
              <w:rPr>
                <w:rFonts w:ascii="標楷體" w:eastAsia="標楷體" w:hAnsi="標楷體" w:cs="標楷體" w:hint="eastAsia"/>
                <w:color w:val="000000" w:themeColor="text1"/>
              </w:rPr>
              <w:t>。</w:t>
            </w:r>
          </w:p>
        </w:tc>
        <w:tc>
          <w:tcPr>
            <w:tcW w:w="2977" w:type="dxa"/>
          </w:tcPr>
          <w:p w:rsidR="001C1CD3" w:rsidRPr="001946B2"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sz w:val="28"/>
                <w:szCs w:val="28"/>
              </w:rPr>
            </w:pPr>
          </w:p>
        </w:tc>
        <w:tc>
          <w:tcPr>
            <w:tcW w:w="2551" w:type="dxa"/>
          </w:tcPr>
          <w:p w:rsidR="001C1CD3" w:rsidRPr="001946B2"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sz w:val="28"/>
                <w:szCs w:val="28"/>
              </w:rPr>
            </w:pPr>
          </w:p>
        </w:tc>
      </w:tr>
      <w:tr w:rsidR="001C1CD3" w:rsidRPr="00D9617F" w:rsidTr="005326B5">
        <w:trPr>
          <w:trHeight w:val="2394"/>
        </w:trPr>
        <w:tc>
          <w:tcPr>
            <w:tcW w:w="4212" w:type="dxa"/>
          </w:tcPr>
          <w:p w:rsidR="001C1CD3" w:rsidRPr="00D9617F" w:rsidRDefault="001C1CD3" w:rsidP="00B26991">
            <w:pPr>
              <w:kinsoku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第三條</w:t>
            </w:r>
            <w:r w:rsidR="00E86AED">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本法所稱公務人員，係指法定機關依法任用之有給專任人員及公立學校編制內依法任用之職員。</w:t>
            </w:r>
          </w:p>
          <w:p w:rsidR="001C1CD3" w:rsidRPr="00D9617F" w:rsidRDefault="001C1CD3" w:rsidP="00B26991">
            <w:pPr>
              <w:kinsoku w:val="0"/>
              <w:overflowPunct w:val="0"/>
              <w:autoSpaceDE w:val="0"/>
              <w:autoSpaceDN w:val="0"/>
              <w:spacing w:line="460" w:lineRule="exact"/>
              <w:ind w:leftChars="107" w:left="257" w:firstLineChars="200" w:firstLine="480"/>
              <w:jc w:val="both"/>
              <w:rPr>
                <w:rFonts w:ascii="標楷體" w:eastAsia="標楷體" w:hAnsi="標楷體" w:cs="Times New Roman"/>
                <w:color w:val="000000" w:themeColor="text1"/>
              </w:rPr>
            </w:pPr>
            <w:r w:rsidRPr="00D9617F">
              <w:rPr>
                <w:rFonts w:ascii="標楷體" w:eastAsia="標楷體" w:hAnsi="標楷體" w:cs="標楷體" w:hint="eastAsia"/>
                <w:color w:val="000000" w:themeColor="text1"/>
              </w:rPr>
              <w:t>前項公務人員不包括政務人員及民選公職人員。</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2966"/>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第四條</w:t>
            </w:r>
            <w:r w:rsidR="00E86AED">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公務人員權益之救濟，依本法所定復審、申訴、再申訴之程序行之。</w:t>
            </w:r>
          </w:p>
          <w:p w:rsidR="001C1CD3" w:rsidRPr="00D9617F" w:rsidRDefault="001C1CD3" w:rsidP="00B26991">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公務人員提起之復審、再申訴事件(以下簡稱保障事件)，由公務人員保障暨培訓委員會(以下簡稱保訓會)審議決定。保障事件審議規則，由考試院定之。</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E86AED">
            <w:pPr>
              <w:kinsoku w:val="0"/>
              <w:overflowPunct w:val="0"/>
              <w:autoSpaceDE w:val="0"/>
              <w:autoSpaceDN w:val="0"/>
              <w:spacing w:line="460" w:lineRule="exact"/>
              <w:ind w:left="240" w:hangingChars="100" w:hanging="240"/>
              <w:jc w:val="both"/>
              <w:rPr>
                <w:rFonts w:ascii="標楷體" w:eastAsia="標楷體" w:hAnsi="標楷體" w:cs="Times New Roman"/>
                <w:color w:val="000000" w:themeColor="text1"/>
              </w:rPr>
            </w:pPr>
            <w:r w:rsidRPr="00D9617F">
              <w:rPr>
                <w:rFonts w:ascii="標楷體" w:eastAsia="標楷體" w:hAnsi="標楷體" w:cs="標楷體" w:hint="eastAsia"/>
                <w:color w:val="000000" w:themeColor="text1"/>
              </w:rPr>
              <w:t>第五條</w:t>
            </w:r>
            <w:r w:rsidR="00E86AED">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保訓會對於保障事件，於復審人、再申訴人表示不服之範圍內，不得為更不利於該公務人員之決定。</w:t>
            </w:r>
          </w:p>
        </w:tc>
        <w:tc>
          <w:tcPr>
            <w:tcW w:w="2977" w:type="dxa"/>
          </w:tcPr>
          <w:p w:rsidR="001C1CD3" w:rsidRPr="00D9617F" w:rsidRDefault="001C1CD3" w:rsidP="00B26991">
            <w:pPr>
              <w:kinsoku w:val="0"/>
              <w:overflowPunct w:val="0"/>
              <w:autoSpaceDE w:val="0"/>
              <w:autoSpaceDN w:val="0"/>
              <w:spacing w:line="460" w:lineRule="exact"/>
              <w:ind w:left="840" w:hangingChars="350" w:hanging="840"/>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ind w:left="840" w:hangingChars="350" w:hanging="840"/>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tabs>
                <w:tab w:val="left" w:pos="1016"/>
              </w:tabs>
              <w:kinsoku w:val="0"/>
              <w:overflowPunct w:val="0"/>
              <w:autoSpaceDE w:val="0"/>
              <w:autoSpaceDN w:val="0"/>
              <w:spacing w:line="460" w:lineRule="exact"/>
              <w:ind w:left="240" w:hangingChars="100" w:hanging="240"/>
              <w:jc w:val="both"/>
              <w:rPr>
                <w:rFonts w:ascii="標楷體" w:eastAsia="標楷體" w:hAnsi="標楷體" w:cs="Times New Roman"/>
                <w:color w:val="000000" w:themeColor="text1"/>
              </w:rPr>
            </w:pPr>
            <w:r w:rsidRPr="00D9617F">
              <w:rPr>
                <w:rFonts w:ascii="標楷體" w:eastAsia="標楷體" w:hAnsi="標楷體" w:cs="Times New Roman" w:hint="eastAsia"/>
                <w:color w:val="000000" w:themeColor="text1"/>
              </w:rPr>
              <w:t>第六條</w:t>
            </w:r>
            <w:r w:rsidR="00E86AED">
              <w:rPr>
                <w:rFonts w:ascii="標楷體" w:eastAsia="標楷體" w:hAnsi="標楷體" w:cs="Times New Roman" w:hint="eastAsia"/>
                <w:color w:val="000000" w:themeColor="text1"/>
              </w:rPr>
              <w:t xml:space="preserve">　</w:t>
            </w:r>
            <w:r w:rsidRPr="00D9617F">
              <w:rPr>
                <w:rFonts w:ascii="標楷體" w:eastAsia="標楷體" w:hAnsi="標楷體" w:cs="Times New Roman" w:hint="eastAsia"/>
                <w:color w:val="000000" w:themeColor="text1"/>
              </w:rPr>
              <w:t>各機關不得因公務人員依本法提起救濟而予不利之行政處分、不合理之管理措施或有關工作條件</w:t>
            </w:r>
            <w:r w:rsidRPr="00D9617F">
              <w:rPr>
                <w:rFonts w:ascii="標楷體" w:eastAsia="標楷體" w:hAnsi="標楷體" w:cs="Times New Roman" w:hint="eastAsia"/>
                <w:color w:val="000000" w:themeColor="text1"/>
              </w:rPr>
              <w:lastRenderedPageBreak/>
              <w:t>之處置。</w:t>
            </w:r>
          </w:p>
          <w:p w:rsidR="001C1CD3" w:rsidRPr="00D9617F" w:rsidRDefault="001C1CD3" w:rsidP="00B26991">
            <w:pPr>
              <w:kinsoku w:val="0"/>
              <w:overflowPunct w:val="0"/>
              <w:autoSpaceDE w:val="0"/>
              <w:autoSpaceDN w:val="0"/>
              <w:spacing w:line="460" w:lineRule="exact"/>
              <w:ind w:leftChars="107" w:left="257" w:firstLineChars="200" w:firstLine="480"/>
              <w:jc w:val="both"/>
              <w:rPr>
                <w:rFonts w:ascii="標楷體" w:eastAsia="標楷體" w:hAnsi="標楷體" w:cs="Times New Roman"/>
                <w:color w:val="000000" w:themeColor="text1"/>
              </w:rPr>
            </w:pPr>
            <w:r w:rsidRPr="00D9617F">
              <w:rPr>
                <w:rFonts w:ascii="標楷體" w:eastAsia="標楷體" w:hAnsi="標楷體" w:cs="Times New Roman" w:hint="eastAsia"/>
                <w:color w:val="000000" w:themeColor="text1"/>
              </w:rPr>
              <w:t>公務人員提起保障事件，經保訓會決定撤銷者，自決定書送達之次日起三年內，該公務人員經他機關依法指名商調時，服務機關不得拒絕。</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b/>
                <w:bCs/>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b/>
                <w:bCs/>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Times New Roman"/>
                <w:color w:val="000000" w:themeColor="text1"/>
              </w:rPr>
            </w:pPr>
            <w:r w:rsidRPr="00D9617F">
              <w:rPr>
                <w:rFonts w:ascii="標楷體" w:eastAsia="標楷體" w:hAnsi="標楷體" w:cs="Times New Roman" w:hint="eastAsia"/>
                <w:color w:val="000000" w:themeColor="text1"/>
              </w:rPr>
              <w:lastRenderedPageBreak/>
              <w:t>第七條</w:t>
            </w:r>
            <w:r w:rsidR="00E86AED">
              <w:rPr>
                <w:rFonts w:ascii="標楷體" w:eastAsia="標楷體" w:hAnsi="標楷體" w:cs="Times New Roman" w:hint="eastAsia"/>
                <w:color w:val="000000" w:themeColor="text1"/>
              </w:rPr>
              <w:t xml:space="preserve">　</w:t>
            </w:r>
            <w:r w:rsidRPr="00D9617F">
              <w:rPr>
                <w:rFonts w:ascii="標楷體" w:eastAsia="標楷體" w:hAnsi="標楷體" w:cs="Times New Roman" w:hint="eastAsia"/>
                <w:color w:val="000000" w:themeColor="text1"/>
              </w:rPr>
              <w:t>審理保障事件之人員有下列各款情形之一者，應自行迴避：</w:t>
            </w:r>
          </w:p>
          <w:p w:rsidR="001C1CD3" w:rsidRPr="00D9617F" w:rsidRDefault="001C1CD3" w:rsidP="00077270">
            <w:pPr>
              <w:kinsoku w:val="0"/>
              <w:overflowPunct w:val="0"/>
              <w:autoSpaceDE w:val="0"/>
              <w:autoSpaceDN w:val="0"/>
              <w:spacing w:line="460" w:lineRule="exact"/>
              <w:ind w:left="735" w:hanging="497"/>
              <w:jc w:val="both"/>
              <w:rPr>
                <w:rFonts w:ascii="標楷體" w:eastAsia="標楷體" w:hAnsi="標楷體" w:cs="Times New Roman"/>
                <w:color w:val="000000" w:themeColor="text1"/>
              </w:rPr>
            </w:pPr>
            <w:r w:rsidRPr="00D9617F">
              <w:rPr>
                <w:rFonts w:ascii="標楷體" w:eastAsia="標楷體" w:hAnsi="標楷體" w:cs="Times New Roman" w:hint="eastAsia"/>
                <w:color w:val="000000" w:themeColor="text1"/>
              </w:rPr>
              <w:t>一、與提起保障事件之公務人員有配偶、前配偶、四親等內血親、三親等內姻親、家長、家屬或曾有此關係者。</w:t>
            </w:r>
          </w:p>
          <w:p w:rsidR="001C1CD3" w:rsidRPr="00D9617F" w:rsidRDefault="001C1CD3" w:rsidP="00077270">
            <w:pPr>
              <w:kinsoku w:val="0"/>
              <w:overflowPunct w:val="0"/>
              <w:autoSpaceDE w:val="0"/>
              <w:autoSpaceDN w:val="0"/>
              <w:spacing w:line="460" w:lineRule="exact"/>
              <w:ind w:left="735" w:hanging="497"/>
              <w:jc w:val="both"/>
              <w:rPr>
                <w:rFonts w:ascii="標楷體" w:eastAsia="標楷體" w:hAnsi="標楷體" w:cs="Times New Roman"/>
                <w:color w:val="000000" w:themeColor="text1"/>
              </w:rPr>
            </w:pPr>
            <w:r w:rsidRPr="00D9617F">
              <w:rPr>
                <w:rFonts w:ascii="標楷體" w:eastAsia="標楷體" w:hAnsi="標楷體" w:cs="Times New Roman" w:hint="eastAsia"/>
                <w:color w:val="000000" w:themeColor="text1"/>
              </w:rPr>
              <w:t>二、曾參與該保障事件之行政處分管理措施、有關工作條件之處置或申訴程序者。</w:t>
            </w:r>
          </w:p>
          <w:p w:rsidR="001C1CD3" w:rsidRPr="00D9617F" w:rsidRDefault="001C1CD3" w:rsidP="00077270">
            <w:pPr>
              <w:kinsoku w:val="0"/>
              <w:overflowPunct w:val="0"/>
              <w:autoSpaceDE w:val="0"/>
              <w:autoSpaceDN w:val="0"/>
              <w:spacing w:line="460" w:lineRule="exact"/>
              <w:ind w:left="735" w:hanging="497"/>
              <w:jc w:val="both"/>
              <w:rPr>
                <w:rFonts w:ascii="標楷體" w:eastAsia="標楷體" w:hAnsi="標楷體" w:cs="Times New Roman"/>
                <w:color w:val="000000" w:themeColor="text1"/>
              </w:rPr>
            </w:pPr>
            <w:r w:rsidRPr="00D9617F">
              <w:rPr>
                <w:rFonts w:ascii="標楷體" w:eastAsia="標楷體" w:hAnsi="標楷體" w:cs="Times New Roman" w:hint="eastAsia"/>
                <w:color w:val="000000" w:themeColor="text1"/>
              </w:rPr>
              <w:t>三、現為或曾為該保障事件當事人之代理人、輔佐人者。</w:t>
            </w:r>
          </w:p>
          <w:p w:rsidR="001C1CD3" w:rsidRPr="00D9617F" w:rsidRDefault="001C1CD3" w:rsidP="00077270">
            <w:pPr>
              <w:kinsoku w:val="0"/>
              <w:overflowPunct w:val="0"/>
              <w:autoSpaceDE w:val="0"/>
              <w:autoSpaceDN w:val="0"/>
              <w:spacing w:line="460" w:lineRule="exact"/>
              <w:ind w:left="735" w:hanging="497"/>
              <w:jc w:val="both"/>
              <w:rPr>
                <w:rFonts w:ascii="標楷體" w:eastAsia="標楷體" w:hAnsi="標楷體" w:cs="Times New Roman"/>
                <w:color w:val="000000" w:themeColor="text1"/>
              </w:rPr>
            </w:pPr>
            <w:r w:rsidRPr="00D9617F">
              <w:rPr>
                <w:rFonts w:ascii="標楷體" w:eastAsia="標楷體" w:hAnsi="標楷體" w:cs="Times New Roman" w:hint="eastAsia"/>
                <w:color w:val="000000" w:themeColor="text1"/>
              </w:rPr>
              <w:t>四、於該保障事件，曾為證人、鑑定人者。</w:t>
            </w:r>
          </w:p>
          <w:p w:rsidR="001C1CD3" w:rsidRPr="00D9617F" w:rsidRDefault="001C1CD3" w:rsidP="00077270">
            <w:pPr>
              <w:kinsoku w:val="0"/>
              <w:overflowPunct w:val="0"/>
              <w:autoSpaceDE w:val="0"/>
              <w:autoSpaceDN w:val="0"/>
              <w:spacing w:line="460" w:lineRule="exact"/>
              <w:ind w:left="735" w:hanging="497"/>
              <w:jc w:val="both"/>
              <w:rPr>
                <w:rFonts w:ascii="標楷體" w:eastAsia="標楷體" w:hAnsi="標楷體" w:cs="Times New Roman"/>
                <w:color w:val="000000" w:themeColor="text1"/>
              </w:rPr>
            </w:pPr>
            <w:r w:rsidRPr="00D9617F">
              <w:rPr>
                <w:rFonts w:ascii="標楷體" w:eastAsia="標楷體" w:hAnsi="標楷體" w:cs="Times New Roman" w:hint="eastAsia"/>
                <w:color w:val="000000" w:themeColor="text1"/>
              </w:rPr>
              <w:t>五、與該保障事件有法律上利害關係者。</w:t>
            </w:r>
          </w:p>
          <w:p w:rsidR="001C1CD3" w:rsidRPr="00D9617F" w:rsidRDefault="001C1CD3" w:rsidP="00B26991">
            <w:pPr>
              <w:kinsoku w:val="0"/>
              <w:overflowPunct w:val="0"/>
              <w:autoSpaceDE w:val="0"/>
              <w:autoSpaceDN w:val="0"/>
              <w:spacing w:line="460" w:lineRule="exact"/>
              <w:ind w:leftChars="107" w:left="257" w:firstLineChars="200" w:firstLine="480"/>
              <w:jc w:val="both"/>
              <w:rPr>
                <w:rFonts w:ascii="標楷體" w:eastAsia="標楷體" w:hAnsi="標楷體" w:cs="Times New Roman"/>
                <w:color w:val="000000" w:themeColor="text1"/>
              </w:rPr>
            </w:pPr>
            <w:r w:rsidRPr="00D9617F">
              <w:rPr>
                <w:rFonts w:ascii="標楷體" w:eastAsia="標楷體" w:hAnsi="標楷體" w:cs="Times New Roman" w:hint="eastAsia"/>
                <w:color w:val="000000" w:themeColor="text1"/>
              </w:rPr>
              <w:t>前項迴避，於協助辦理保障事件人員準用之。</w:t>
            </w:r>
          </w:p>
          <w:p w:rsidR="001C1CD3" w:rsidRPr="00D9617F" w:rsidRDefault="001C1CD3" w:rsidP="00B26991">
            <w:pPr>
              <w:kinsoku w:val="0"/>
              <w:overflowPunct w:val="0"/>
              <w:autoSpaceDE w:val="0"/>
              <w:autoSpaceDN w:val="0"/>
              <w:spacing w:line="460" w:lineRule="exact"/>
              <w:ind w:leftChars="107" w:left="257" w:firstLineChars="200" w:firstLine="480"/>
              <w:jc w:val="both"/>
              <w:rPr>
                <w:rFonts w:ascii="標楷體" w:eastAsia="標楷體" w:hAnsi="標楷體" w:cs="Times New Roman"/>
                <w:color w:val="000000" w:themeColor="text1"/>
              </w:rPr>
            </w:pPr>
            <w:r w:rsidRPr="00D9617F">
              <w:rPr>
                <w:rFonts w:ascii="標楷體" w:eastAsia="標楷體" w:hAnsi="標楷體" w:cs="Times New Roman" w:hint="eastAsia"/>
                <w:color w:val="000000" w:themeColor="text1"/>
              </w:rPr>
              <w:t>前二項人員明知應迴避而不迴避者，應依法移送懲戒。</w:t>
            </w:r>
          </w:p>
          <w:p w:rsidR="001C1CD3" w:rsidRPr="00D9617F" w:rsidRDefault="001C1CD3" w:rsidP="00B26991">
            <w:pPr>
              <w:kinsoku w:val="0"/>
              <w:overflowPunct w:val="0"/>
              <w:autoSpaceDE w:val="0"/>
              <w:autoSpaceDN w:val="0"/>
              <w:spacing w:line="460" w:lineRule="exact"/>
              <w:ind w:leftChars="107" w:left="257" w:firstLineChars="200" w:firstLine="480"/>
              <w:jc w:val="both"/>
              <w:rPr>
                <w:rFonts w:ascii="標楷體" w:eastAsia="標楷體" w:hAnsi="標楷體" w:cs="Times New Roman"/>
                <w:color w:val="000000" w:themeColor="text1"/>
              </w:rPr>
            </w:pPr>
            <w:r w:rsidRPr="00D9617F">
              <w:rPr>
                <w:rFonts w:ascii="標楷體" w:eastAsia="標楷體" w:hAnsi="標楷體" w:cs="Times New Roman" w:hint="eastAsia"/>
                <w:color w:val="000000" w:themeColor="text1"/>
              </w:rPr>
              <w:t>有關機關副首長兼任保訓會之委員者，不受第一項第二款迴避規定限制。但涉及本機關有關保障事件之決定，無表決權。</w:t>
            </w:r>
          </w:p>
          <w:p w:rsidR="001C1CD3" w:rsidRPr="00D9617F" w:rsidRDefault="001C1CD3" w:rsidP="00EC4272">
            <w:pPr>
              <w:kinsoku w:val="0"/>
              <w:overflowPunct w:val="0"/>
              <w:autoSpaceDE w:val="0"/>
              <w:autoSpaceDN w:val="0"/>
              <w:spacing w:line="460" w:lineRule="exact"/>
              <w:ind w:leftChars="107" w:left="257" w:firstLineChars="200" w:firstLine="480"/>
              <w:jc w:val="both"/>
              <w:rPr>
                <w:rFonts w:ascii="標楷體" w:eastAsia="標楷體" w:hAnsi="標楷體" w:cs="Times New Roman"/>
                <w:color w:val="000000" w:themeColor="text1"/>
              </w:rPr>
            </w:pPr>
            <w:r w:rsidRPr="00D9617F">
              <w:rPr>
                <w:rFonts w:ascii="標楷體" w:eastAsia="標楷體" w:hAnsi="標楷體" w:cs="Times New Roman" w:hint="eastAsia"/>
                <w:color w:val="000000" w:themeColor="text1"/>
              </w:rPr>
              <w:t>復審人、再申訴人亦得備具書狀敘明理由向保訓會申請迴避。</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b/>
                <w:bCs/>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b/>
                <w:bCs/>
                <w:color w:val="000000" w:themeColor="text1"/>
              </w:rPr>
            </w:pPr>
          </w:p>
        </w:tc>
      </w:tr>
      <w:tr w:rsidR="001C1CD3" w:rsidRPr="00D9617F" w:rsidTr="005326B5">
        <w:trPr>
          <w:trHeight w:val="139"/>
        </w:trPr>
        <w:tc>
          <w:tcPr>
            <w:tcW w:w="4212" w:type="dxa"/>
          </w:tcPr>
          <w:p w:rsidR="001C1CD3" w:rsidRPr="00D9617F" w:rsidRDefault="001C1CD3" w:rsidP="00E86AED">
            <w:pPr>
              <w:kinsoku w:val="0"/>
              <w:overflowPunct w:val="0"/>
              <w:autoSpaceDE w:val="0"/>
              <w:autoSpaceDN w:val="0"/>
              <w:spacing w:line="460" w:lineRule="exact"/>
              <w:ind w:left="240" w:hangingChars="100" w:hanging="240"/>
              <w:jc w:val="both"/>
              <w:rPr>
                <w:rFonts w:ascii="標楷體" w:eastAsia="標楷體" w:hAnsi="標楷體" w:cs="Times New Roman"/>
                <w:color w:val="000000" w:themeColor="text1"/>
              </w:rPr>
            </w:pPr>
            <w:r w:rsidRPr="00D9617F">
              <w:rPr>
                <w:rFonts w:ascii="標楷體" w:eastAsia="標楷體" w:hAnsi="標楷體" w:cs="Times New Roman" w:hint="eastAsia"/>
                <w:color w:val="000000" w:themeColor="text1"/>
              </w:rPr>
              <w:t>第八條</w:t>
            </w:r>
            <w:r w:rsidR="00E86AED">
              <w:rPr>
                <w:rFonts w:ascii="標楷體" w:eastAsia="標楷體" w:hAnsi="標楷體" w:cs="Times New Roman" w:hint="eastAsia"/>
                <w:color w:val="000000" w:themeColor="text1"/>
              </w:rPr>
              <w:t xml:space="preserve">　</w:t>
            </w:r>
            <w:r w:rsidRPr="00D9617F">
              <w:rPr>
                <w:rFonts w:ascii="標楷體" w:eastAsia="標楷體" w:hAnsi="標楷體" w:cs="Times New Roman" w:hint="eastAsia"/>
                <w:color w:val="000000" w:themeColor="text1"/>
              </w:rPr>
              <w:t>保障事件審理期間，如有查證之必要，經保訓會委員會議之決議得派員前往調閱相關文件及訪談有關人員；受調閱機關或受訪談人員應予必要之協助；受指派人員應將查證結果向保訓會委員會議提出報告。</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b/>
                <w:bCs/>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b/>
                <w:bCs/>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b/>
                <w:bCs/>
                <w:color w:val="000000" w:themeColor="text1"/>
                <w:sz w:val="28"/>
              </w:rPr>
            </w:pPr>
            <w:r w:rsidRPr="00D9617F">
              <w:rPr>
                <w:rFonts w:ascii="標楷體" w:eastAsia="標楷體" w:hAnsi="標楷體" w:cs="Times New Roman" w:hint="eastAsia"/>
                <w:b/>
                <w:bCs/>
                <w:color w:val="000000" w:themeColor="text1"/>
                <w:sz w:val="28"/>
              </w:rPr>
              <w:t>第二章  實體保障</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b/>
                <w:bCs/>
                <w:color w:val="000000" w:themeColor="text1"/>
                <w:sz w:val="28"/>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b/>
                <w:bCs/>
                <w:color w:val="000000" w:themeColor="text1"/>
                <w:sz w:val="28"/>
              </w:rPr>
            </w:pPr>
          </w:p>
        </w:tc>
      </w:tr>
      <w:tr w:rsidR="001C1CD3" w:rsidRPr="00D9617F" w:rsidTr="005326B5">
        <w:trPr>
          <w:trHeight w:val="1402"/>
        </w:trPr>
        <w:tc>
          <w:tcPr>
            <w:tcW w:w="4212" w:type="dxa"/>
          </w:tcPr>
          <w:p w:rsidR="001C1CD3" w:rsidRPr="00D9617F" w:rsidRDefault="001C1CD3" w:rsidP="00E86AED">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1946B2">
              <w:rPr>
                <w:rFonts w:ascii="標楷體" w:eastAsia="標楷體" w:hAnsi="標楷體" w:cs="標楷體" w:hint="eastAsia"/>
                <w:color w:val="000000" w:themeColor="text1"/>
              </w:rPr>
              <w:t>第九條</w:t>
            </w:r>
            <w:r w:rsidR="00E86AED">
              <w:rPr>
                <w:rFonts w:ascii="標楷體" w:eastAsia="標楷體" w:hAnsi="標楷體" w:cs="標楷體" w:hint="eastAsia"/>
                <w:color w:val="000000" w:themeColor="text1"/>
              </w:rPr>
              <w:t xml:space="preserve">　</w:t>
            </w:r>
            <w:r w:rsidRPr="001946B2">
              <w:rPr>
                <w:rFonts w:ascii="標楷體" w:eastAsia="標楷體" w:hAnsi="標楷體" w:cs="標楷體" w:hint="eastAsia"/>
                <w:color w:val="000000" w:themeColor="text1"/>
              </w:rPr>
              <w:t>公務人員之身分應予保障，非依法律不得剝奪。基於身分之請求權，其保障亦同。</w:t>
            </w:r>
          </w:p>
        </w:tc>
        <w:tc>
          <w:tcPr>
            <w:tcW w:w="2977" w:type="dxa"/>
          </w:tcPr>
          <w:p w:rsidR="001C1CD3" w:rsidRPr="00D9617F" w:rsidRDefault="001C1CD3" w:rsidP="00B26991">
            <w:pPr>
              <w:kinsoku w:val="0"/>
              <w:overflowPunct w:val="0"/>
              <w:autoSpaceDE w:val="0"/>
              <w:autoSpaceDN w:val="0"/>
              <w:spacing w:line="460" w:lineRule="exact"/>
              <w:ind w:leftChars="200" w:left="480" w:firstLineChars="100" w:firstLine="240"/>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ind w:leftChars="200" w:left="480" w:firstLineChars="100" w:firstLine="240"/>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862A5D" w:rsidRDefault="001C1CD3" w:rsidP="00B26991">
            <w:pPr>
              <w:kinsoku w:val="0"/>
              <w:overflowPunct w:val="0"/>
              <w:autoSpaceDE w:val="0"/>
              <w:autoSpaceDN w:val="0"/>
              <w:spacing w:line="460" w:lineRule="exact"/>
              <w:ind w:left="240" w:hangingChars="100" w:hanging="240"/>
              <w:jc w:val="both"/>
              <w:rPr>
                <w:rFonts w:ascii="標楷體" w:eastAsia="標楷體" w:hAnsi="標楷體" w:cs="Times New Roman"/>
                <w:color w:val="000000" w:themeColor="text1"/>
              </w:rPr>
            </w:pPr>
            <w:r w:rsidRPr="00D9617F">
              <w:rPr>
                <w:rFonts w:ascii="標楷體" w:eastAsia="標楷體" w:hAnsi="標楷體" w:cs="Times New Roman" w:hint="eastAsia"/>
                <w:color w:val="000000" w:themeColor="text1"/>
              </w:rPr>
              <w:t>第十條</w:t>
            </w:r>
            <w:r w:rsidR="00E86AED">
              <w:rPr>
                <w:rFonts w:ascii="標楷體" w:eastAsia="標楷體" w:hAnsi="標楷體" w:cs="Times New Roman" w:hint="eastAsia"/>
                <w:color w:val="000000" w:themeColor="text1"/>
              </w:rPr>
              <w:t xml:space="preserve">　</w:t>
            </w:r>
            <w:r w:rsidRPr="00D9617F">
              <w:rPr>
                <w:rFonts w:ascii="標楷體" w:eastAsia="標楷體" w:hAnsi="標楷體" w:cs="Times New Roman" w:hint="eastAsia"/>
                <w:color w:val="000000" w:themeColor="text1"/>
              </w:rPr>
              <w:t>公務人員非依法律，不得予以停職。</w:t>
            </w:r>
          </w:p>
          <w:p w:rsidR="001C1CD3" w:rsidRPr="00D9617F" w:rsidRDefault="001C1CD3" w:rsidP="00862A5D">
            <w:pPr>
              <w:kinsoku w:val="0"/>
              <w:overflowPunct w:val="0"/>
              <w:autoSpaceDE w:val="0"/>
              <w:autoSpaceDN w:val="0"/>
              <w:spacing w:line="460" w:lineRule="exact"/>
              <w:ind w:leftChars="100" w:left="240" w:firstLineChars="200" w:firstLine="480"/>
              <w:jc w:val="both"/>
              <w:rPr>
                <w:rFonts w:ascii="標楷體" w:eastAsia="標楷體" w:hAnsi="標楷體" w:cs="Times New Roman"/>
                <w:color w:val="000000" w:themeColor="text1"/>
              </w:rPr>
            </w:pPr>
            <w:r w:rsidRPr="00D9617F">
              <w:rPr>
                <w:rFonts w:ascii="標楷體" w:eastAsia="標楷體" w:hAnsi="標楷體" w:cs="Times New Roman" w:hint="eastAsia"/>
                <w:color w:val="000000" w:themeColor="text1"/>
              </w:rPr>
              <w:t>經依法停職之公務人員，於停職事由消滅後三個月內，得申請復職；服務機關或其上級機關，除法律另有規定者外，應許其復職，並自受理之日起三十日內通知其復職。</w:t>
            </w:r>
          </w:p>
          <w:p w:rsidR="001C1CD3" w:rsidRPr="00D9617F" w:rsidRDefault="001C1CD3" w:rsidP="00B26991">
            <w:pPr>
              <w:kinsoku w:val="0"/>
              <w:overflowPunct w:val="0"/>
              <w:autoSpaceDE w:val="0"/>
              <w:autoSpaceDN w:val="0"/>
              <w:spacing w:line="460" w:lineRule="exact"/>
              <w:ind w:leftChars="107" w:left="257" w:firstLineChars="200" w:firstLine="480"/>
              <w:jc w:val="both"/>
              <w:rPr>
                <w:rFonts w:ascii="標楷體" w:eastAsia="標楷體" w:hAnsi="標楷體" w:cs="Times New Roman"/>
                <w:color w:val="000000" w:themeColor="text1"/>
              </w:rPr>
            </w:pPr>
            <w:r w:rsidRPr="00D9617F">
              <w:rPr>
                <w:rFonts w:ascii="標楷體" w:eastAsia="標楷體" w:hAnsi="標楷體" w:cs="Times New Roman" w:hint="eastAsia"/>
                <w:color w:val="000000" w:themeColor="text1"/>
              </w:rPr>
              <w:t>依前項規定復職之公務人員，服務機關或其上級機關應回復原職務或與原職務職等相當或與其原敘職等俸級相當之其他職務；如仍無法回復職務時，應依公務人員任用法及公務人員俸給法有關調任之規定辦理。</w:t>
            </w:r>
          </w:p>
          <w:p w:rsidR="001C1CD3" w:rsidRPr="00D9617F" w:rsidRDefault="001C1CD3" w:rsidP="00B26991">
            <w:pPr>
              <w:kinsoku w:val="0"/>
              <w:overflowPunct w:val="0"/>
              <w:autoSpaceDE w:val="0"/>
              <w:autoSpaceDN w:val="0"/>
              <w:spacing w:line="460" w:lineRule="exact"/>
              <w:ind w:leftChars="107" w:left="257" w:firstLineChars="200" w:firstLine="480"/>
              <w:jc w:val="both"/>
              <w:rPr>
                <w:rFonts w:ascii="標楷體" w:eastAsia="標楷體" w:hAnsi="標楷體" w:cs="Times New Roman"/>
                <w:color w:val="000000" w:themeColor="text1"/>
              </w:rPr>
            </w:pPr>
            <w:r w:rsidRPr="00D9617F">
              <w:rPr>
                <w:rFonts w:ascii="標楷體" w:eastAsia="標楷體" w:hAnsi="標楷體" w:cs="Times New Roman" w:hint="eastAsia"/>
                <w:color w:val="000000" w:themeColor="text1"/>
              </w:rPr>
              <w:t>經依法停職之公務人員，於停職事由消滅後三個月內，未申請復職者，服務機關或其上級機關人事單位應負責查催；如仍未於接到查催通知之日起三十日內申請復職，除有不可歸責於該公務人員之事由外，視為辭職。</w:t>
            </w:r>
          </w:p>
        </w:tc>
        <w:tc>
          <w:tcPr>
            <w:tcW w:w="2977" w:type="dxa"/>
          </w:tcPr>
          <w:p w:rsidR="001C1CD3" w:rsidRPr="00D9617F" w:rsidRDefault="001C1CD3" w:rsidP="00B26991">
            <w:pPr>
              <w:kinsoku w:val="0"/>
              <w:overflowPunct w:val="0"/>
              <w:autoSpaceDE w:val="0"/>
              <w:autoSpaceDN w:val="0"/>
              <w:spacing w:line="460" w:lineRule="exact"/>
              <w:ind w:leftChars="200" w:left="960" w:hangingChars="200" w:hanging="480"/>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ind w:leftChars="200" w:left="960" w:hangingChars="200" w:hanging="480"/>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Times New Roman"/>
                <w:color w:val="000000" w:themeColor="text1"/>
              </w:rPr>
            </w:pPr>
            <w:r w:rsidRPr="00D9617F">
              <w:rPr>
                <w:rFonts w:ascii="標楷體" w:eastAsia="標楷體" w:hAnsi="標楷體" w:cs="Times New Roman" w:hint="eastAsia"/>
                <w:color w:val="000000" w:themeColor="text1"/>
              </w:rPr>
              <w:t>第十</w:t>
            </w:r>
            <w:r w:rsidRPr="00D9617F">
              <w:rPr>
                <w:rFonts w:ascii="標楷體" w:eastAsia="標楷體" w:hAnsi="標楷體" w:cs="Times New Roman"/>
                <w:color w:val="000000" w:themeColor="text1"/>
              </w:rPr>
              <w:t>一</w:t>
            </w:r>
            <w:r w:rsidRPr="00D9617F">
              <w:rPr>
                <w:rFonts w:ascii="標楷體" w:eastAsia="標楷體" w:hAnsi="標楷體" w:cs="Times New Roman" w:hint="eastAsia"/>
                <w:color w:val="000000" w:themeColor="text1"/>
              </w:rPr>
              <w:t>條</w:t>
            </w:r>
            <w:r w:rsidR="00E86AED">
              <w:rPr>
                <w:rFonts w:ascii="標楷體" w:eastAsia="標楷體" w:hAnsi="標楷體" w:cs="Times New Roman" w:hint="eastAsia"/>
                <w:color w:val="000000" w:themeColor="text1"/>
              </w:rPr>
              <w:t xml:space="preserve">　</w:t>
            </w:r>
            <w:r w:rsidRPr="00D9617F">
              <w:rPr>
                <w:rFonts w:ascii="標楷體" w:eastAsia="標楷體" w:hAnsi="標楷體" w:cs="Times New Roman" w:hint="eastAsia"/>
                <w:color w:val="000000" w:themeColor="text1"/>
              </w:rPr>
              <w:t>受停職處分之公務人員，經依法提起救濟而撤銷原行政處分者，除得依法另為處理者外，其服務機關或其上級機關應予復職，並準用前條第二項之規定。</w:t>
            </w:r>
          </w:p>
          <w:p w:rsidR="001C1CD3" w:rsidRPr="00D9617F" w:rsidRDefault="001C1CD3" w:rsidP="00B26991">
            <w:pPr>
              <w:kinsoku w:val="0"/>
              <w:overflowPunct w:val="0"/>
              <w:autoSpaceDE w:val="0"/>
              <w:autoSpaceDN w:val="0"/>
              <w:spacing w:line="460" w:lineRule="exact"/>
              <w:ind w:leftChars="107" w:left="257" w:firstLineChars="200" w:firstLine="480"/>
              <w:jc w:val="both"/>
              <w:rPr>
                <w:rFonts w:ascii="標楷體" w:eastAsia="標楷體" w:hAnsi="標楷體" w:cs="Times New Roman"/>
                <w:color w:val="000000" w:themeColor="text1"/>
              </w:rPr>
            </w:pPr>
            <w:r w:rsidRPr="00D9617F">
              <w:rPr>
                <w:rFonts w:ascii="標楷體" w:eastAsia="標楷體" w:hAnsi="標楷體" w:cs="Times New Roman" w:hint="eastAsia"/>
                <w:color w:val="000000" w:themeColor="text1"/>
              </w:rPr>
              <w:t>前項之公務人員於復職報到前，仍視為停職。</w:t>
            </w:r>
          </w:p>
          <w:p w:rsidR="001C1CD3" w:rsidRPr="00D9617F" w:rsidRDefault="001C1CD3" w:rsidP="00B26991">
            <w:pPr>
              <w:kinsoku w:val="0"/>
              <w:overflowPunct w:val="0"/>
              <w:autoSpaceDE w:val="0"/>
              <w:autoSpaceDN w:val="0"/>
              <w:spacing w:line="460" w:lineRule="exact"/>
              <w:ind w:leftChars="107" w:left="257" w:firstLineChars="200" w:firstLine="480"/>
              <w:jc w:val="both"/>
              <w:rPr>
                <w:rFonts w:ascii="標楷體" w:eastAsia="標楷體" w:hAnsi="標楷體" w:cs="Times New Roman"/>
                <w:color w:val="000000" w:themeColor="text1"/>
              </w:rPr>
            </w:pPr>
            <w:r w:rsidRPr="00D9617F">
              <w:rPr>
                <w:rFonts w:ascii="標楷體" w:eastAsia="標楷體" w:hAnsi="標楷體" w:cs="Times New Roman" w:hint="eastAsia"/>
                <w:color w:val="000000" w:themeColor="text1"/>
              </w:rPr>
              <w:t>依第一項應予復職之公務人員，於接獲復職令後，應於三十日內報到；其未於期限內報到者，除經核准延長或有不可歸責於該公務人員之事由者外，視為辭職。</w:t>
            </w:r>
          </w:p>
        </w:tc>
        <w:tc>
          <w:tcPr>
            <w:tcW w:w="2977" w:type="dxa"/>
          </w:tcPr>
          <w:p w:rsidR="001C1CD3" w:rsidRPr="00D9617F" w:rsidRDefault="001C1CD3" w:rsidP="00B26991">
            <w:pPr>
              <w:kinsoku w:val="0"/>
              <w:overflowPunct w:val="0"/>
              <w:autoSpaceDE w:val="0"/>
              <w:autoSpaceDN w:val="0"/>
              <w:spacing w:line="460" w:lineRule="exact"/>
              <w:ind w:leftChars="88" w:left="211" w:firstLineChars="200" w:firstLine="480"/>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ind w:leftChars="88" w:left="211" w:firstLineChars="200" w:firstLine="480"/>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Times New Roman"/>
                <w:color w:val="000000" w:themeColor="text1"/>
              </w:rPr>
            </w:pPr>
            <w:r w:rsidRPr="00D9617F">
              <w:rPr>
                <w:rFonts w:ascii="標楷體" w:eastAsia="標楷體" w:hAnsi="標楷體" w:cs="Times New Roman" w:hint="eastAsia"/>
                <w:color w:val="000000" w:themeColor="text1"/>
              </w:rPr>
              <w:t>第十二條</w:t>
            </w:r>
            <w:r w:rsidR="00E86AED">
              <w:rPr>
                <w:rFonts w:ascii="標楷體" w:eastAsia="標楷體" w:hAnsi="標楷體" w:cs="Times New Roman" w:hint="eastAsia"/>
                <w:color w:val="000000" w:themeColor="text1"/>
              </w:rPr>
              <w:t xml:space="preserve">　</w:t>
            </w:r>
            <w:r w:rsidRPr="00D9617F">
              <w:rPr>
                <w:rFonts w:ascii="標楷體" w:eastAsia="標楷體" w:hAnsi="標楷體" w:cs="Times New Roman" w:hint="eastAsia"/>
                <w:color w:val="000000" w:themeColor="text1"/>
              </w:rPr>
              <w:t>公務人員因機關裁撤、組織變更或業務緊縮時，除法律另有規定者外，其具有考試及格或銓敘合格之留用人員，應由上級機關或承受其業務之機關辦理轉任或派職，必要時先予輔導、訓練。</w:t>
            </w:r>
          </w:p>
          <w:p w:rsidR="001C1CD3" w:rsidRPr="00D9617F" w:rsidRDefault="001C1CD3" w:rsidP="00B26991">
            <w:pPr>
              <w:kinsoku w:val="0"/>
              <w:overflowPunct w:val="0"/>
              <w:autoSpaceDE w:val="0"/>
              <w:autoSpaceDN w:val="0"/>
              <w:spacing w:line="460" w:lineRule="exact"/>
              <w:ind w:leftChars="107" w:left="257" w:firstLineChars="200" w:firstLine="480"/>
              <w:jc w:val="both"/>
              <w:rPr>
                <w:rFonts w:ascii="標楷體" w:eastAsia="標楷體" w:hAnsi="標楷體" w:cs="Times New Roman"/>
                <w:color w:val="000000" w:themeColor="text1"/>
              </w:rPr>
            </w:pPr>
            <w:r w:rsidRPr="00D9617F">
              <w:rPr>
                <w:rFonts w:ascii="標楷體" w:eastAsia="標楷體" w:hAnsi="標楷體" w:cs="Times New Roman" w:hint="eastAsia"/>
                <w:color w:val="000000" w:themeColor="text1"/>
              </w:rPr>
              <w:t>依前項規定轉任或派職時，除自願降低官等者外，其官等職等應與原任職務之官等職等相當，如無適當職缺致轉任或派職同官等內低職等職務者，應依公務人員任用法及公務人員俸給法有關調任之規定辦理。</w:t>
            </w:r>
          </w:p>
        </w:tc>
        <w:tc>
          <w:tcPr>
            <w:tcW w:w="2977" w:type="dxa"/>
          </w:tcPr>
          <w:p w:rsidR="001C1CD3" w:rsidRPr="00D9617F" w:rsidRDefault="001C1CD3" w:rsidP="00B26991">
            <w:pPr>
              <w:kinsoku w:val="0"/>
              <w:overflowPunct w:val="0"/>
              <w:autoSpaceDE w:val="0"/>
              <w:autoSpaceDN w:val="0"/>
              <w:spacing w:line="460" w:lineRule="exact"/>
              <w:ind w:leftChars="88" w:left="211" w:firstLineChars="200" w:firstLine="480"/>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ind w:leftChars="88" w:left="211" w:firstLineChars="200" w:firstLine="480"/>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E86AED">
            <w:pPr>
              <w:kinsoku w:val="0"/>
              <w:overflowPunct w:val="0"/>
              <w:autoSpaceDE w:val="0"/>
              <w:autoSpaceDN w:val="0"/>
              <w:spacing w:line="460" w:lineRule="exact"/>
              <w:ind w:left="240" w:hangingChars="100" w:hanging="240"/>
              <w:jc w:val="both"/>
              <w:rPr>
                <w:rFonts w:ascii="標楷體" w:eastAsia="標楷體" w:hAnsi="標楷體" w:cs="Times New Roman"/>
                <w:color w:val="000000" w:themeColor="text1"/>
              </w:rPr>
            </w:pPr>
            <w:r w:rsidRPr="00D9617F">
              <w:rPr>
                <w:rFonts w:ascii="標楷體" w:eastAsia="標楷體" w:hAnsi="標楷體" w:cs="Times New Roman" w:hint="eastAsia"/>
                <w:color w:val="000000" w:themeColor="text1"/>
              </w:rPr>
              <w:t>第十</w:t>
            </w:r>
            <w:r w:rsidRPr="00D9617F">
              <w:rPr>
                <w:rFonts w:ascii="標楷體" w:eastAsia="標楷體" w:hAnsi="標楷體" w:cs="Times New Roman"/>
                <w:color w:val="000000" w:themeColor="text1"/>
              </w:rPr>
              <w:t>三</w:t>
            </w:r>
            <w:r w:rsidRPr="00D9617F">
              <w:rPr>
                <w:rFonts w:ascii="標楷體" w:eastAsia="標楷體" w:hAnsi="標楷體" w:cs="Times New Roman" w:hint="eastAsia"/>
                <w:color w:val="000000" w:themeColor="text1"/>
              </w:rPr>
              <w:t>條</w:t>
            </w:r>
            <w:r w:rsidR="00E86AED">
              <w:rPr>
                <w:rFonts w:ascii="標楷體" w:eastAsia="標楷體" w:hAnsi="標楷體" w:cs="Times New Roman" w:hint="eastAsia"/>
                <w:color w:val="000000" w:themeColor="text1"/>
              </w:rPr>
              <w:t xml:space="preserve">　</w:t>
            </w:r>
            <w:r w:rsidRPr="00D9617F">
              <w:rPr>
                <w:rFonts w:ascii="標楷體" w:eastAsia="標楷體" w:hAnsi="標楷體" w:cs="Times New Roman" w:hint="eastAsia"/>
                <w:color w:val="000000" w:themeColor="text1"/>
              </w:rPr>
              <w:t>公務人員經銓敘審定之官等職等應予保障，非依法律不得變更。</w:t>
            </w:r>
          </w:p>
        </w:tc>
        <w:tc>
          <w:tcPr>
            <w:tcW w:w="2977" w:type="dxa"/>
          </w:tcPr>
          <w:p w:rsidR="001C1CD3" w:rsidRPr="00D9617F" w:rsidRDefault="001C1CD3" w:rsidP="00B26991">
            <w:pPr>
              <w:kinsoku w:val="0"/>
              <w:overflowPunct w:val="0"/>
              <w:autoSpaceDE w:val="0"/>
              <w:autoSpaceDN w:val="0"/>
              <w:spacing w:line="460" w:lineRule="exact"/>
              <w:ind w:leftChars="88" w:left="211" w:firstLineChars="200" w:firstLine="480"/>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ind w:leftChars="88" w:left="211" w:firstLineChars="200" w:firstLine="480"/>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E86AED">
            <w:pPr>
              <w:kinsoku w:val="0"/>
              <w:overflowPunct w:val="0"/>
              <w:autoSpaceDE w:val="0"/>
              <w:autoSpaceDN w:val="0"/>
              <w:spacing w:line="460" w:lineRule="exact"/>
              <w:ind w:left="240" w:hangingChars="100" w:hanging="240"/>
              <w:jc w:val="both"/>
              <w:rPr>
                <w:rFonts w:ascii="標楷體" w:eastAsia="標楷體" w:hAnsi="標楷體" w:cs="Times New Roman"/>
                <w:color w:val="000000" w:themeColor="text1"/>
              </w:rPr>
            </w:pPr>
            <w:r w:rsidRPr="00D9617F">
              <w:rPr>
                <w:rFonts w:ascii="標楷體" w:eastAsia="標楷體" w:hAnsi="標楷體" w:cs="Times New Roman" w:hint="eastAsia"/>
                <w:color w:val="000000" w:themeColor="text1"/>
              </w:rPr>
              <w:t>第十四條</w:t>
            </w:r>
            <w:r w:rsidR="00E86AED">
              <w:rPr>
                <w:rFonts w:ascii="標楷體" w:eastAsia="標楷體" w:hAnsi="標楷體" w:cs="Times New Roman" w:hint="eastAsia"/>
                <w:color w:val="000000" w:themeColor="text1"/>
              </w:rPr>
              <w:t xml:space="preserve">　</w:t>
            </w:r>
            <w:r w:rsidRPr="00D9617F">
              <w:rPr>
                <w:rFonts w:ascii="標楷體" w:eastAsia="標楷體" w:hAnsi="標楷體" w:cs="Times New Roman" w:hint="eastAsia"/>
                <w:color w:val="000000" w:themeColor="text1"/>
              </w:rPr>
              <w:t>公務人員經銓敘審定之俸級應予保障，非依法律不得降級或減俸。</w:t>
            </w:r>
          </w:p>
        </w:tc>
        <w:tc>
          <w:tcPr>
            <w:tcW w:w="2977" w:type="dxa"/>
          </w:tcPr>
          <w:p w:rsidR="001C1CD3" w:rsidRPr="00D9617F" w:rsidRDefault="001C1CD3" w:rsidP="00B26991">
            <w:pPr>
              <w:kinsoku w:val="0"/>
              <w:overflowPunct w:val="0"/>
              <w:autoSpaceDE w:val="0"/>
              <w:autoSpaceDN w:val="0"/>
              <w:spacing w:line="460" w:lineRule="exact"/>
              <w:ind w:leftChars="88" w:left="211" w:firstLineChars="200" w:firstLine="480"/>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ind w:leftChars="88" w:left="211" w:firstLineChars="200" w:firstLine="480"/>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E86AED">
            <w:pPr>
              <w:kinsoku w:val="0"/>
              <w:overflowPunct w:val="0"/>
              <w:autoSpaceDE w:val="0"/>
              <w:autoSpaceDN w:val="0"/>
              <w:spacing w:line="460" w:lineRule="exact"/>
              <w:ind w:left="240" w:hangingChars="100" w:hanging="240"/>
              <w:jc w:val="both"/>
              <w:rPr>
                <w:rFonts w:ascii="標楷體" w:eastAsia="標楷體" w:hAnsi="標楷體" w:cs="Times New Roman"/>
                <w:color w:val="000000" w:themeColor="text1"/>
              </w:rPr>
            </w:pPr>
            <w:r w:rsidRPr="00D9617F">
              <w:rPr>
                <w:rFonts w:ascii="標楷體" w:eastAsia="標楷體" w:hAnsi="標楷體" w:cs="Times New Roman" w:hint="eastAsia"/>
                <w:color w:val="000000" w:themeColor="text1"/>
              </w:rPr>
              <w:t>第十五條</w:t>
            </w:r>
            <w:r w:rsidR="00E86AED">
              <w:rPr>
                <w:rFonts w:ascii="標楷體" w:eastAsia="標楷體" w:hAnsi="標楷體" w:cs="Times New Roman" w:hint="eastAsia"/>
                <w:color w:val="000000" w:themeColor="text1"/>
              </w:rPr>
              <w:t xml:space="preserve">　</w:t>
            </w:r>
            <w:r w:rsidRPr="00D9617F">
              <w:rPr>
                <w:rFonts w:ascii="標楷體" w:eastAsia="標楷體" w:hAnsi="標楷體" w:cs="Times New Roman" w:hint="eastAsia"/>
                <w:color w:val="000000" w:themeColor="text1"/>
              </w:rPr>
              <w:t>公務人員依其職務種類、性質與服務地區，所應得之法定加給，非依法令不得變更。</w:t>
            </w:r>
          </w:p>
        </w:tc>
        <w:tc>
          <w:tcPr>
            <w:tcW w:w="2977" w:type="dxa"/>
          </w:tcPr>
          <w:p w:rsidR="001C1CD3" w:rsidRPr="00D9617F" w:rsidRDefault="001C1CD3" w:rsidP="00B26991">
            <w:pPr>
              <w:kinsoku w:val="0"/>
              <w:overflowPunct w:val="0"/>
              <w:autoSpaceDE w:val="0"/>
              <w:autoSpaceDN w:val="0"/>
              <w:spacing w:line="460" w:lineRule="exact"/>
              <w:ind w:leftChars="88" w:left="211" w:firstLineChars="200" w:firstLine="480"/>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ind w:leftChars="88" w:left="211" w:firstLineChars="200" w:firstLine="480"/>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E86AED">
            <w:pPr>
              <w:kinsoku w:val="0"/>
              <w:overflowPunct w:val="0"/>
              <w:autoSpaceDE w:val="0"/>
              <w:autoSpaceDN w:val="0"/>
              <w:spacing w:line="460" w:lineRule="exact"/>
              <w:ind w:left="240" w:hangingChars="100" w:hanging="240"/>
              <w:jc w:val="both"/>
              <w:rPr>
                <w:rFonts w:ascii="標楷體" w:eastAsia="標楷體" w:hAnsi="標楷體" w:cs="Times New Roman"/>
                <w:color w:val="000000" w:themeColor="text1"/>
              </w:rPr>
            </w:pPr>
            <w:r w:rsidRPr="00D9617F">
              <w:rPr>
                <w:rFonts w:ascii="標楷體" w:eastAsia="標楷體" w:hAnsi="標楷體" w:cs="Times New Roman" w:hint="eastAsia"/>
                <w:color w:val="000000" w:themeColor="text1"/>
              </w:rPr>
              <w:t>第十六條</w:t>
            </w:r>
            <w:r w:rsidR="00E86AED">
              <w:rPr>
                <w:rFonts w:ascii="標楷體" w:eastAsia="標楷體" w:hAnsi="標楷體" w:cs="Times New Roman" w:hint="eastAsia"/>
                <w:color w:val="000000" w:themeColor="text1"/>
              </w:rPr>
              <w:t xml:space="preserve">　</w:t>
            </w:r>
            <w:r w:rsidRPr="00D9617F">
              <w:rPr>
                <w:rFonts w:ascii="標楷體" w:eastAsia="標楷體" w:hAnsi="標楷體" w:cs="Times New Roman" w:hint="eastAsia"/>
                <w:color w:val="000000" w:themeColor="text1"/>
              </w:rPr>
              <w:t>公務人員之長官或主管對於公務人員不得作違法之工作指派，亦不得以強暴脅迫或其他不正當方法，使公務人員為非法之行為。</w:t>
            </w:r>
          </w:p>
        </w:tc>
        <w:tc>
          <w:tcPr>
            <w:tcW w:w="2977" w:type="dxa"/>
          </w:tcPr>
          <w:p w:rsidR="001C1CD3" w:rsidRPr="00D9617F" w:rsidRDefault="001C1CD3" w:rsidP="00B26991">
            <w:pPr>
              <w:kinsoku w:val="0"/>
              <w:overflowPunct w:val="0"/>
              <w:autoSpaceDE w:val="0"/>
              <w:autoSpaceDN w:val="0"/>
              <w:spacing w:line="460" w:lineRule="exact"/>
              <w:ind w:leftChars="88" w:left="211" w:firstLineChars="200" w:firstLine="480"/>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ind w:leftChars="88" w:left="211" w:firstLineChars="200" w:firstLine="480"/>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Times New Roman"/>
                <w:color w:val="000000" w:themeColor="text1"/>
              </w:rPr>
            </w:pPr>
            <w:r w:rsidRPr="00D9617F">
              <w:rPr>
                <w:rFonts w:ascii="標楷體" w:eastAsia="標楷體" w:hAnsi="標楷體" w:cs="Times New Roman" w:hint="eastAsia"/>
                <w:color w:val="000000" w:themeColor="text1"/>
              </w:rPr>
              <w:t>第十七條</w:t>
            </w:r>
            <w:r w:rsidR="00E86AED">
              <w:rPr>
                <w:rFonts w:ascii="標楷體" w:eastAsia="標楷體" w:hAnsi="標楷體" w:cs="Times New Roman" w:hint="eastAsia"/>
                <w:color w:val="000000" w:themeColor="text1"/>
              </w:rPr>
              <w:t xml:space="preserve">　</w:t>
            </w:r>
            <w:r w:rsidRPr="00D9617F">
              <w:rPr>
                <w:rFonts w:ascii="標楷體" w:eastAsia="標楷體" w:hAnsi="標楷體" w:cs="Times New Roman" w:hint="eastAsia"/>
                <w:color w:val="000000" w:themeColor="text1"/>
              </w:rPr>
              <w:t>公務人員對於長官監督範圍內所發之命令有服從義務，如認為該命令違法，應負報告之義務；該管長官如認其命令並未違法，而以書面下達時，公務人員即應服從；其因此所生之責任，由該長官負之。但其命令有違反刑事法律者，公務人員無服從之義務。</w:t>
            </w:r>
          </w:p>
          <w:p w:rsidR="001C1CD3" w:rsidRPr="00D9617F" w:rsidRDefault="001C1CD3" w:rsidP="00077270">
            <w:pPr>
              <w:kinsoku w:val="0"/>
              <w:overflowPunct w:val="0"/>
              <w:autoSpaceDE w:val="0"/>
              <w:autoSpaceDN w:val="0"/>
              <w:spacing w:line="460" w:lineRule="exact"/>
              <w:ind w:leftChars="107" w:left="257" w:firstLineChars="200" w:firstLine="480"/>
              <w:jc w:val="both"/>
              <w:rPr>
                <w:rFonts w:ascii="標楷體" w:eastAsia="標楷體" w:hAnsi="標楷體" w:cs="Times New Roman"/>
                <w:color w:val="000000" w:themeColor="text1"/>
              </w:rPr>
            </w:pPr>
            <w:r w:rsidRPr="00D9617F">
              <w:rPr>
                <w:rFonts w:ascii="標楷體" w:eastAsia="標楷體" w:hAnsi="標楷體" w:cs="Times New Roman" w:hint="eastAsia"/>
                <w:color w:val="000000" w:themeColor="text1"/>
              </w:rPr>
              <w:t>前項情形，該管長官非以書面下達命令者，公務人員得請求其以書面為之，該管長官拒絕時，視為撤回其命令。</w:t>
            </w:r>
          </w:p>
        </w:tc>
        <w:tc>
          <w:tcPr>
            <w:tcW w:w="2977" w:type="dxa"/>
          </w:tcPr>
          <w:p w:rsidR="001C1CD3" w:rsidRPr="00D9617F" w:rsidRDefault="001C1CD3" w:rsidP="00B26991">
            <w:pPr>
              <w:kinsoku w:val="0"/>
              <w:overflowPunct w:val="0"/>
              <w:autoSpaceDE w:val="0"/>
              <w:autoSpaceDN w:val="0"/>
              <w:spacing w:line="460" w:lineRule="exact"/>
              <w:ind w:leftChars="88" w:left="211" w:firstLineChars="200" w:firstLine="480"/>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ind w:leftChars="88" w:left="211" w:firstLineChars="200" w:firstLine="480"/>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E86AED">
            <w:pPr>
              <w:kinsoku w:val="0"/>
              <w:overflowPunct w:val="0"/>
              <w:autoSpaceDE w:val="0"/>
              <w:autoSpaceDN w:val="0"/>
              <w:spacing w:line="460" w:lineRule="exact"/>
              <w:ind w:left="240" w:hangingChars="100" w:hanging="240"/>
              <w:jc w:val="both"/>
              <w:rPr>
                <w:rFonts w:ascii="標楷體" w:eastAsia="標楷體" w:hAnsi="標楷體" w:cs="Times New Roman"/>
                <w:color w:val="000000" w:themeColor="text1"/>
              </w:rPr>
            </w:pPr>
            <w:r w:rsidRPr="00D9617F">
              <w:rPr>
                <w:rFonts w:ascii="標楷體" w:eastAsia="標楷體" w:hAnsi="標楷體" w:cs="Times New Roman" w:hint="eastAsia"/>
                <w:color w:val="000000" w:themeColor="text1"/>
              </w:rPr>
              <w:t>第十八條</w:t>
            </w:r>
            <w:r w:rsidR="00E86AED">
              <w:rPr>
                <w:rFonts w:ascii="標楷體" w:eastAsia="標楷體" w:hAnsi="標楷體" w:cs="Times New Roman" w:hint="eastAsia"/>
                <w:color w:val="000000" w:themeColor="text1"/>
              </w:rPr>
              <w:t xml:space="preserve">　</w:t>
            </w:r>
            <w:r w:rsidRPr="00D9617F">
              <w:rPr>
                <w:rFonts w:ascii="標楷體" w:eastAsia="標楷體" w:hAnsi="標楷體" w:cs="Times New Roman" w:hint="eastAsia"/>
                <w:color w:val="000000" w:themeColor="text1"/>
              </w:rPr>
              <w:t>各機關應提供公務人員執行職務必要之機具設備及良好工作環境。</w:t>
            </w:r>
          </w:p>
        </w:tc>
        <w:tc>
          <w:tcPr>
            <w:tcW w:w="2977" w:type="dxa"/>
          </w:tcPr>
          <w:p w:rsidR="001C1CD3" w:rsidRPr="00D9617F" w:rsidRDefault="001C1CD3" w:rsidP="00B26991">
            <w:pPr>
              <w:kinsoku w:val="0"/>
              <w:overflowPunct w:val="0"/>
              <w:autoSpaceDE w:val="0"/>
              <w:autoSpaceDN w:val="0"/>
              <w:spacing w:line="460" w:lineRule="exact"/>
              <w:ind w:leftChars="88" w:left="211" w:firstLineChars="200" w:firstLine="480"/>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ind w:leftChars="88" w:left="211" w:firstLineChars="200" w:firstLine="480"/>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E86AED">
            <w:pPr>
              <w:kinsoku w:val="0"/>
              <w:overflowPunct w:val="0"/>
              <w:autoSpaceDE w:val="0"/>
              <w:autoSpaceDN w:val="0"/>
              <w:spacing w:line="460" w:lineRule="exact"/>
              <w:ind w:left="240" w:hangingChars="100" w:hanging="240"/>
              <w:jc w:val="both"/>
              <w:rPr>
                <w:rFonts w:ascii="標楷體" w:eastAsia="標楷體" w:hAnsi="標楷體" w:cs="Times New Roman"/>
                <w:color w:val="000000" w:themeColor="text1"/>
              </w:rPr>
            </w:pPr>
            <w:r w:rsidRPr="00D9617F">
              <w:rPr>
                <w:rFonts w:ascii="標楷體" w:eastAsia="標楷體" w:hAnsi="標楷體" w:cs="Times New Roman" w:hint="eastAsia"/>
                <w:color w:val="000000" w:themeColor="text1"/>
              </w:rPr>
              <w:t>第十九條</w:t>
            </w:r>
            <w:r w:rsidR="00E86AED">
              <w:rPr>
                <w:rFonts w:ascii="標楷體" w:eastAsia="標楷體" w:hAnsi="標楷體" w:cs="Times New Roman" w:hint="eastAsia"/>
                <w:color w:val="000000" w:themeColor="text1"/>
              </w:rPr>
              <w:t xml:space="preserve">　</w:t>
            </w:r>
            <w:r w:rsidRPr="00D9617F">
              <w:rPr>
                <w:rFonts w:ascii="標楷體" w:eastAsia="標楷體" w:hAnsi="標楷體" w:cs="Times New Roman" w:hint="eastAsia"/>
                <w:color w:val="000000" w:themeColor="text1"/>
              </w:rPr>
              <w:t>公務人員執行職務之安全應予保障。各機關對於公務人員之執行職務，應提供安全及衛生之防護措施；其有關辦法，由考試院會同行政院定之。</w:t>
            </w:r>
          </w:p>
        </w:tc>
        <w:tc>
          <w:tcPr>
            <w:tcW w:w="2977" w:type="dxa"/>
          </w:tcPr>
          <w:p w:rsidR="001C1CD3" w:rsidRPr="00D9617F" w:rsidRDefault="001C1CD3" w:rsidP="00B26991">
            <w:pPr>
              <w:kinsoku w:val="0"/>
              <w:overflowPunct w:val="0"/>
              <w:autoSpaceDE w:val="0"/>
              <w:autoSpaceDN w:val="0"/>
              <w:spacing w:line="460" w:lineRule="exact"/>
              <w:ind w:leftChars="88" w:left="211" w:firstLineChars="200" w:firstLine="480"/>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ind w:leftChars="88" w:left="211" w:firstLineChars="200" w:firstLine="480"/>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E86AED">
            <w:pPr>
              <w:kinsoku w:val="0"/>
              <w:overflowPunct w:val="0"/>
              <w:autoSpaceDE w:val="0"/>
              <w:autoSpaceDN w:val="0"/>
              <w:spacing w:line="460" w:lineRule="exact"/>
              <w:ind w:left="240" w:hangingChars="100" w:hanging="240"/>
              <w:jc w:val="both"/>
              <w:rPr>
                <w:rFonts w:ascii="標楷體" w:eastAsia="標楷體" w:hAnsi="標楷體" w:cs="Times New Roman"/>
                <w:color w:val="000000" w:themeColor="text1"/>
              </w:rPr>
            </w:pPr>
            <w:r w:rsidRPr="00D9617F">
              <w:rPr>
                <w:rFonts w:ascii="標楷體" w:eastAsia="標楷體" w:hAnsi="標楷體" w:cs="Times New Roman" w:hint="eastAsia"/>
                <w:color w:val="000000" w:themeColor="text1"/>
              </w:rPr>
              <w:t>第二</w:t>
            </w:r>
            <w:r w:rsidRPr="00D9617F">
              <w:rPr>
                <w:rFonts w:ascii="標楷體" w:eastAsia="標楷體" w:hAnsi="標楷體" w:cs="Times New Roman"/>
                <w:color w:val="000000" w:themeColor="text1"/>
              </w:rPr>
              <w:t>十</w:t>
            </w:r>
            <w:r w:rsidRPr="00D9617F">
              <w:rPr>
                <w:rFonts w:ascii="標楷體" w:eastAsia="標楷體" w:hAnsi="標楷體" w:cs="Times New Roman" w:hint="eastAsia"/>
                <w:color w:val="000000" w:themeColor="text1"/>
              </w:rPr>
              <w:t>條</w:t>
            </w:r>
            <w:r w:rsidR="00E86AED">
              <w:rPr>
                <w:rFonts w:ascii="標楷體" w:eastAsia="標楷體" w:hAnsi="標楷體" w:cs="Times New Roman" w:hint="eastAsia"/>
                <w:color w:val="000000" w:themeColor="text1"/>
              </w:rPr>
              <w:t xml:space="preserve">　</w:t>
            </w:r>
            <w:r w:rsidRPr="00D9617F">
              <w:rPr>
                <w:rFonts w:ascii="標楷體" w:eastAsia="標楷體" w:hAnsi="標楷體" w:cs="Times New Roman" w:hint="eastAsia"/>
                <w:color w:val="000000" w:themeColor="text1"/>
              </w:rPr>
              <w:t>公務人員執行職務時，現場長官認已發生危害或明顯有發生危害之虞者，得視情況暫時停止執行。</w:t>
            </w:r>
          </w:p>
        </w:tc>
        <w:tc>
          <w:tcPr>
            <w:tcW w:w="2977" w:type="dxa"/>
          </w:tcPr>
          <w:p w:rsidR="001C1CD3" w:rsidRPr="00D9617F" w:rsidRDefault="001C1CD3" w:rsidP="00B26991">
            <w:pPr>
              <w:kinsoku w:val="0"/>
              <w:overflowPunct w:val="0"/>
              <w:autoSpaceDE w:val="0"/>
              <w:autoSpaceDN w:val="0"/>
              <w:spacing w:line="460" w:lineRule="exact"/>
              <w:ind w:leftChars="88" w:left="211" w:firstLineChars="200" w:firstLine="480"/>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ind w:leftChars="88" w:left="211" w:firstLineChars="200" w:firstLine="480"/>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Times New Roman"/>
                <w:color w:val="000000" w:themeColor="text1"/>
              </w:rPr>
            </w:pPr>
            <w:r w:rsidRPr="00D9617F">
              <w:rPr>
                <w:rFonts w:ascii="標楷體" w:eastAsia="標楷體" w:hAnsi="標楷體" w:cs="Times New Roman" w:hint="eastAsia"/>
                <w:color w:val="000000" w:themeColor="text1"/>
              </w:rPr>
              <w:t>第二</w:t>
            </w:r>
            <w:r w:rsidRPr="00D9617F">
              <w:rPr>
                <w:rFonts w:ascii="標楷體" w:eastAsia="標楷體" w:hAnsi="標楷體" w:cs="Times New Roman"/>
                <w:color w:val="000000" w:themeColor="text1"/>
              </w:rPr>
              <w:t>十一</w:t>
            </w:r>
            <w:r w:rsidRPr="00D9617F">
              <w:rPr>
                <w:rFonts w:ascii="標楷體" w:eastAsia="標楷體" w:hAnsi="標楷體" w:cs="Times New Roman" w:hint="eastAsia"/>
                <w:color w:val="000000" w:themeColor="text1"/>
              </w:rPr>
              <w:t>條</w:t>
            </w:r>
            <w:r w:rsidR="006A7A9B">
              <w:rPr>
                <w:rFonts w:ascii="標楷體" w:eastAsia="標楷體" w:hAnsi="標楷體" w:cs="Times New Roman" w:hint="eastAsia"/>
                <w:color w:val="000000" w:themeColor="text1"/>
              </w:rPr>
              <w:t xml:space="preserve">　</w:t>
            </w:r>
            <w:r w:rsidRPr="00D9617F">
              <w:rPr>
                <w:rFonts w:ascii="標楷體" w:eastAsia="標楷體" w:hAnsi="標楷體" w:cs="Times New Roman" w:hint="eastAsia"/>
                <w:color w:val="000000" w:themeColor="text1"/>
              </w:rPr>
              <w:t>公務人員因機關提供之安全及衛生防護措施有瑕疵，致其生命、身體或健康受損時，得依國家賠償法請求賠償。</w:t>
            </w:r>
          </w:p>
          <w:p w:rsidR="001C1CD3" w:rsidRPr="00D9617F" w:rsidRDefault="001C1CD3" w:rsidP="00077270">
            <w:pPr>
              <w:kinsoku w:val="0"/>
              <w:overflowPunct w:val="0"/>
              <w:autoSpaceDE w:val="0"/>
              <w:autoSpaceDN w:val="0"/>
              <w:spacing w:line="460" w:lineRule="exact"/>
              <w:ind w:leftChars="107" w:left="257" w:firstLineChars="200" w:firstLine="480"/>
              <w:jc w:val="both"/>
              <w:rPr>
                <w:rFonts w:ascii="標楷體" w:eastAsia="標楷體" w:hAnsi="標楷體" w:cs="Times New Roman"/>
                <w:color w:val="000000" w:themeColor="text1"/>
              </w:rPr>
            </w:pPr>
            <w:r w:rsidRPr="00D9617F">
              <w:rPr>
                <w:rFonts w:ascii="標楷體" w:eastAsia="標楷體" w:hAnsi="標楷體" w:cs="Times New Roman" w:hint="eastAsia"/>
                <w:color w:val="000000" w:themeColor="text1"/>
              </w:rPr>
              <w:t>公務人員因公受傷、殘廢或死亡者，應發給慰問金。但該公務人員有故意或重大過失情事者，得不發或減發慰問金。前項因公之範圍及慰問金發給辦法，由考試院會同行政院定之。</w:t>
            </w:r>
          </w:p>
        </w:tc>
        <w:tc>
          <w:tcPr>
            <w:tcW w:w="2977" w:type="dxa"/>
          </w:tcPr>
          <w:p w:rsidR="001C1CD3" w:rsidRPr="00D9617F" w:rsidRDefault="001C1CD3" w:rsidP="00B26991">
            <w:pPr>
              <w:kinsoku w:val="0"/>
              <w:overflowPunct w:val="0"/>
              <w:autoSpaceDE w:val="0"/>
              <w:autoSpaceDN w:val="0"/>
              <w:spacing w:line="460" w:lineRule="exact"/>
              <w:ind w:leftChars="88" w:left="211" w:firstLineChars="200" w:firstLine="480"/>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ind w:leftChars="88" w:left="211" w:firstLineChars="200" w:firstLine="480"/>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Times New Roman"/>
                <w:color w:val="000000" w:themeColor="text1"/>
              </w:rPr>
            </w:pPr>
            <w:r w:rsidRPr="00D9617F">
              <w:rPr>
                <w:rFonts w:ascii="標楷體" w:eastAsia="標楷體" w:hAnsi="標楷體" w:cs="Times New Roman" w:hint="eastAsia"/>
                <w:color w:val="000000" w:themeColor="text1"/>
              </w:rPr>
              <w:t>第二十</w:t>
            </w:r>
            <w:r w:rsidRPr="00D9617F">
              <w:rPr>
                <w:rFonts w:ascii="標楷體" w:eastAsia="標楷體" w:hAnsi="標楷體" w:cs="Times New Roman"/>
                <w:color w:val="000000" w:themeColor="text1"/>
              </w:rPr>
              <w:t>二</w:t>
            </w:r>
            <w:r w:rsidRPr="00D9617F">
              <w:rPr>
                <w:rFonts w:ascii="標楷體" w:eastAsia="標楷體" w:hAnsi="標楷體" w:cs="Times New Roman" w:hint="eastAsia"/>
                <w:color w:val="000000" w:themeColor="text1"/>
              </w:rPr>
              <w:t>條</w:t>
            </w:r>
            <w:r w:rsidR="006A7A9B">
              <w:rPr>
                <w:rFonts w:ascii="標楷體" w:eastAsia="標楷體" w:hAnsi="標楷體" w:cs="Times New Roman" w:hint="eastAsia"/>
                <w:color w:val="000000" w:themeColor="text1"/>
              </w:rPr>
              <w:t xml:space="preserve">　</w:t>
            </w:r>
            <w:r w:rsidRPr="00D9617F">
              <w:rPr>
                <w:rFonts w:ascii="標楷體" w:eastAsia="標楷體" w:hAnsi="標楷體" w:cs="Times New Roman" w:hint="eastAsia"/>
                <w:color w:val="000000" w:themeColor="text1"/>
              </w:rPr>
              <w:t>公務人員依法執行職務涉訟時，其服務機關應延聘律師為其辯護及提供法律上之協助。前項情形，其涉訟係因公務人員之故意或重大過失所致者，其服務機關應向該公務人員求償。</w:t>
            </w:r>
          </w:p>
          <w:p w:rsidR="001C1CD3" w:rsidRPr="00D9617F" w:rsidRDefault="001C1CD3" w:rsidP="00077270">
            <w:pPr>
              <w:kinsoku w:val="0"/>
              <w:overflowPunct w:val="0"/>
              <w:autoSpaceDE w:val="0"/>
              <w:autoSpaceDN w:val="0"/>
              <w:spacing w:line="460" w:lineRule="exact"/>
              <w:ind w:leftChars="107" w:left="257" w:firstLineChars="200" w:firstLine="480"/>
              <w:jc w:val="both"/>
              <w:rPr>
                <w:rFonts w:ascii="標楷體" w:eastAsia="標楷體" w:hAnsi="標楷體" w:cs="Times New Roman"/>
                <w:color w:val="000000" w:themeColor="text1"/>
              </w:rPr>
            </w:pPr>
            <w:r w:rsidRPr="00D9617F">
              <w:rPr>
                <w:rFonts w:ascii="標楷體" w:eastAsia="標楷體" w:hAnsi="標楷體" w:cs="Times New Roman" w:hint="eastAsia"/>
                <w:color w:val="000000" w:themeColor="text1"/>
              </w:rPr>
              <w:t>公務人員因公涉訟輔助辦法，由考試院會同行政院定之。</w:t>
            </w:r>
          </w:p>
        </w:tc>
        <w:tc>
          <w:tcPr>
            <w:tcW w:w="2977" w:type="dxa"/>
          </w:tcPr>
          <w:p w:rsidR="001C1CD3" w:rsidRPr="00D9617F" w:rsidRDefault="001C1CD3" w:rsidP="00B26991">
            <w:pPr>
              <w:kinsoku w:val="0"/>
              <w:overflowPunct w:val="0"/>
              <w:autoSpaceDE w:val="0"/>
              <w:autoSpaceDN w:val="0"/>
              <w:spacing w:line="460" w:lineRule="exact"/>
              <w:ind w:leftChars="88" w:left="211" w:firstLineChars="200" w:firstLine="480"/>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ind w:leftChars="88" w:left="211" w:firstLineChars="200" w:firstLine="480"/>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6A7A9B">
            <w:pPr>
              <w:kinsoku w:val="0"/>
              <w:overflowPunct w:val="0"/>
              <w:autoSpaceDE w:val="0"/>
              <w:autoSpaceDN w:val="0"/>
              <w:spacing w:line="460" w:lineRule="exact"/>
              <w:ind w:left="240" w:hangingChars="100" w:hanging="240"/>
              <w:jc w:val="both"/>
              <w:rPr>
                <w:rFonts w:ascii="標楷體" w:eastAsia="標楷體" w:hAnsi="標楷體" w:cs="Times New Roman"/>
                <w:color w:val="000000" w:themeColor="text1"/>
              </w:rPr>
            </w:pPr>
            <w:r w:rsidRPr="00D9617F">
              <w:rPr>
                <w:rFonts w:ascii="標楷體" w:eastAsia="標楷體" w:hAnsi="標楷體" w:cs="Times New Roman" w:hint="eastAsia"/>
                <w:color w:val="000000" w:themeColor="text1"/>
              </w:rPr>
              <w:t>第二十三條</w:t>
            </w:r>
            <w:r w:rsidR="006A7A9B">
              <w:rPr>
                <w:rFonts w:ascii="標楷體" w:eastAsia="標楷體" w:hAnsi="標楷體" w:cs="Times New Roman" w:hint="eastAsia"/>
                <w:color w:val="000000" w:themeColor="text1"/>
              </w:rPr>
              <w:t xml:space="preserve">　</w:t>
            </w:r>
            <w:r w:rsidRPr="00D9617F">
              <w:rPr>
                <w:rFonts w:ascii="標楷體" w:eastAsia="標楷體" w:hAnsi="標楷體" w:cs="Times New Roman" w:hint="eastAsia"/>
                <w:color w:val="000000" w:themeColor="text1"/>
              </w:rPr>
              <w:t>公務人員經指派於上班時間以外執行職務者，服務機關應給予加班費、補休假、獎勵或其他相當之補償。</w:t>
            </w:r>
          </w:p>
        </w:tc>
        <w:tc>
          <w:tcPr>
            <w:tcW w:w="2977" w:type="dxa"/>
          </w:tcPr>
          <w:p w:rsidR="001C1CD3" w:rsidRPr="00D9617F" w:rsidRDefault="001C1CD3" w:rsidP="00B26991">
            <w:pPr>
              <w:kinsoku w:val="0"/>
              <w:overflowPunct w:val="0"/>
              <w:autoSpaceDE w:val="0"/>
              <w:autoSpaceDN w:val="0"/>
              <w:spacing w:line="460" w:lineRule="exact"/>
              <w:ind w:leftChars="88" w:left="211" w:firstLineChars="200" w:firstLine="480"/>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ind w:leftChars="88" w:left="211" w:firstLineChars="200" w:firstLine="480"/>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6A7A9B">
            <w:pPr>
              <w:kinsoku w:val="0"/>
              <w:overflowPunct w:val="0"/>
              <w:autoSpaceDE w:val="0"/>
              <w:autoSpaceDN w:val="0"/>
              <w:spacing w:line="460" w:lineRule="exact"/>
              <w:ind w:left="240" w:hangingChars="100" w:hanging="240"/>
              <w:jc w:val="both"/>
              <w:rPr>
                <w:rFonts w:ascii="標楷體" w:eastAsia="標楷體" w:hAnsi="標楷體" w:cs="Times New Roman"/>
                <w:color w:val="000000" w:themeColor="text1"/>
              </w:rPr>
            </w:pPr>
            <w:r w:rsidRPr="00D9617F">
              <w:rPr>
                <w:rFonts w:ascii="標楷體" w:eastAsia="標楷體" w:hAnsi="標楷體" w:cs="Times New Roman" w:hint="eastAsia"/>
                <w:color w:val="000000" w:themeColor="text1"/>
              </w:rPr>
              <w:t>第二</w:t>
            </w:r>
            <w:r w:rsidRPr="00D9617F">
              <w:rPr>
                <w:rFonts w:ascii="標楷體" w:eastAsia="標楷體" w:hAnsi="標楷體" w:cs="Times New Roman"/>
                <w:color w:val="000000" w:themeColor="text1"/>
              </w:rPr>
              <w:t>十四</w:t>
            </w:r>
            <w:r w:rsidRPr="00D9617F">
              <w:rPr>
                <w:rFonts w:ascii="標楷體" w:eastAsia="標楷體" w:hAnsi="標楷體" w:cs="Times New Roman" w:hint="eastAsia"/>
                <w:color w:val="000000" w:themeColor="text1"/>
              </w:rPr>
              <w:t>條</w:t>
            </w:r>
            <w:r w:rsidR="006A7A9B">
              <w:rPr>
                <w:rFonts w:ascii="標楷體" w:eastAsia="標楷體" w:hAnsi="標楷體" w:cs="Times New Roman" w:hint="eastAsia"/>
                <w:color w:val="000000" w:themeColor="text1"/>
              </w:rPr>
              <w:t xml:space="preserve">　</w:t>
            </w:r>
            <w:r w:rsidRPr="00D9617F">
              <w:rPr>
                <w:rFonts w:ascii="標楷體" w:eastAsia="標楷體" w:hAnsi="標楷體" w:cs="Times New Roman" w:hint="eastAsia"/>
                <w:color w:val="000000" w:themeColor="text1"/>
              </w:rPr>
              <w:t>公務人員執行職務墊支之必要費用，得請求服務機關償還之。</w:t>
            </w:r>
          </w:p>
        </w:tc>
        <w:tc>
          <w:tcPr>
            <w:tcW w:w="2977" w:type="dxa"/>
          </w:tcPr>
          <w:p w:rsidR="001C1CD3" w:rsidRPr="00D9617F" w:rsidRDefault="001C1CD3" w:rsidP="00B26991">
            <w:pPr>
              <w:kinsoku w:val="0"/>
              <w:overflowPunct w:val="0"/>
              <w:autoSpaceDE w:val="0"/>
              <w:autoSpaceDN w:val="0"/>
              <w:spacing w:line="460" w:lineRule="exact"/>
              <w:ind w:leftChars="88" w:left="211" w:firstLineChars="200" w:firstLine="480"/>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ind w:leftChars="88" w:left="211" w:firstLineChars="200" w:firstLine="480"/>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b/>
                <w:bCs/>
                <w:color w:val="000000" w:themeColor="text1"/>
                <w:sz w:val="28"/>
              </w:rPr>
            </w:pPr>
            <w:r w:rsidRPr="00D9617F">
              <w:rPr>
                <w:rFonts w:ascii="標楷體" w:eastAsia="標楷體" w:hAnsi="標楷體" w:cs="Times New Roman" w:hint="eastAsia"/>
                <w:b/>
                <w:bCs/>
                <w:color w:val="000000" w:themeColor="text1"/>
                <w:sz w:val="28"/>
              </w:rPr>
              <w:t>第三章  復審程序</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b/>
                <w:bCs/>
                <w:color w:val="000000" w:themeColor="text1"/>
                <w:sz w:val="28"/>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b/>
                <w:bCs/>
                <w:color w:val="000000" w:themeColor="text1"/>
                <w:sz w:val="28"/>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第二</w:t>
            </w:r>
            <w:r w:rsidRPr="00D9617F">
              <w:rPr>
                <w:rFonts w:ascii="標楷體" w:eastAsia="標楷體" w:hAnsi="標楷體" w:cs="標楷體"/>
                <w:color w:val="000000" w:themeColor="text1"/>
              </w:rPr>
              <w:t>十五</w:t>
            </w:r>
            <w:r w:rsidRPr="00D9617F">
              <w:rPr>
                <w:rFonts w:ascii="標楷體" w:eastAsia="標楷體" w:hAnsi="標楷體" w:cs="標楷體" w:hint="eastAsia"/>
                <w:color w:val="000000" w:themeColor="text1"/>
              </w:rPr>
              <w:t>條</w:t>
            </w:r>
            <w:r w:rsidR="006A7A9B">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公務人員對於服務機關或人事主管機關(以下均簡稱原處分機關)所為之行政處分，認為違法或顯然不當，致損害其權利或利益者，得依本法提起復審。非現職公務人員基於其原公務人員身分之請求權遭受侵害時，亦同。</w:t>
            </w:r>
          </w:p>
          <w:p w:rsidR="001C1CD3" w:rsidRPr="00D9617F" w:rsidRDefault="001C1CD3" w:rsidP="00077270">
            <w:pPr>
              <w:kinsoku w:val="0"/>
              <w:overflowPunct w:val="0"/>
              <w:autoSpaceDE w:val="0"/>
              <w:autoSpaceDN w:val="0"/>
              <w:spacing w:line="460" w:lineRule="exact"/>
              <w:ind w:leftChars="107" w:left="257" w:firstLineChars="200" w:firstLine="480"/>
              <w:jc w:val="both"/>
              <w:rPr>
                <w:rFonts w:ascii="標楷體" w:eastAsia="標楷體" w:hAnsi="標楷體" w:cs="Times New Roman"/>
                <w:color w:val="000000" w:themeColor="text1"/>
              </w:rPr>
            </w:pPr>
            <w:r w:rsidRPr="00D9617F">
              <w:rPr>
                <w:rFonts w:ascii="標楷體" w:eastAsia="標楷體" w:hAnsi="標楷體" w:cs="標楷體" w:hint="eastAsia"/>
                <w:color w:val="000000" w:themeColor="text1"/>
              </w:rPr>
              <w:t>公務人員已亡故者，其遺族基於該公務人員身分所生之公法上財產請求權遭受侵害時，亦得依本法規定提起復審。</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第二十六條</w:t>
            </w:r>
            <w:r w:rsidR="006A7A9B">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公務人員因原處分機關對其依法申請之案件，於法定期間內應作為而不作為，認為損害其權利或利益者，亦得提起復審。</w:t>
            </w:r>
          </w:p>
          <w:p w:rsidR="001C1CD3" w:rsidRPr="00D9617F" w:rsidRDefault="001C1CD3" w:rsidP="00077270">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前項期間，法令未明定者，自機關受理申請之日起為二個月。</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第二十七條</w:t>
            </w:r>
            <w:r w:rsidR="006A7A9B">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原處分機關告知之復審期間有錯誤時，應由該機關以通知更正之，並自通知送達之次日起算法定期間。</w:t>
            </w:r>
          </w:p>
          <w:p w:rsidR="001C1CD3" w:rsidRPr="00D9617F" w:rsidRDefault="001C1CD3" w:rsidP="00077270">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如未告知復審期間，或告知錯誤未通知更正，致受處分人遲誤者，如於處分書送達之次日起一年內提起復審，視為復審期間內所為。</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6A7A9B">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第二十八條</w:t>
            </w:r>
            <w:r w:rsidR="006A7A9B">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原處分機關之認定，以實施行政處分時之名義為準。但上級機關本於法定職權所為行政處分，交由下級機關執行者，以該上級機關為原處分機關。</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6A7A9B">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第二十九條</w:t>
            </w:r>
            <w:r w:rsidR="006A7A9B">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原處分機關裁撤或改組，應以承受其業務之機關視為原處分機關。</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第三</w:t>
            </w:r>
            <w:r w:rsidRPr="00D9617F">
              <w:rPr>
                <w:rFonts w:ascii="標楷體" w:eastAsia="標楷體" w:hAnsi="標楷體" w:cs="標楷體"/>
                <w:color w:val="000000" w:themeColor="text1"/>
              </w:rPr>
              <w:t>十</w:t>
            </w:r>
            <w:r w:rsidRPr="00D9617F">
              <w:rPr>
                <w:rFonts w:ascii="標楷體" w:eastAsia="標楷體" w:hAnsi="標楷體" w:cs="標楷體" w:hint="eastAsia"/>
                <w:color w:val="000000" w:themeColor="text1"/>
              </w:rPr>
              <w:t>條</w:t>
            </w:r>
            <w:r w:rsidR="006A7A9B">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復審之提起，應自行政處分達到之次日起三十日內為之。</w:t>
            </w:r>
          </w:p>
          <w:p w:rsidR="001C1CD3" w:rsidRPr="00D9617F" w:rsidRDefault="001C1CD3" w:rsidP="00077270">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077270">
              <w:rPr>
                <w:rFonts w:ascii="標楷體" w:eastAsia="標楷體" w:hAnsi="標楷體" w:cs="Times New Roman" w:hint="eastAsia"/>
                <w:color w:val="000000" w:themeColor="text1"/>
              </w:rPr>
              <w:t>前項</w:t>
            </w:r>
            <w:r w:rsidRPr="00D9617F">
              <w:rPr>
                <w:rFonts w:ascii="標楷體" w:eastAsia="標楷體" w:hAnsi="標楷體" w:cs="標楷體" w:hint="eastAsia"/>
                <w:color w:val="000000" w:themeColor="text1"/>
              </w:rPr>
              <w:t>期間，以原處分機關收受復審書之日期為準。</w:t>
            </w:r>
          </w:p>
          <w:p w:rsidR="001C1CD3" w:rsidRPr="00D9617F" w:rsidRDefault="001C1CD3" w:rsidP="00077270">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復審人誤向原處分機關以外機關提起復審者，以該機關收受之日，視為提起復審之日。</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第三</w:t>
            </w:r>
            <w:r w:rsidRPr="00D9617F">
              <w:rPr>
                <w:rFonts w:ascii="標楷體" w:eastAsia="標楷體" w:hAnsi="標楷體" w:cs="標楷體"/>
                <w:color w:val="000000" w:themeColor="text1"/>
              </w:rPr>
              <w:t>十一</w:t>
            </w:r>
            <w:r w:rsidRPr="00D9617F">
              <w:rPr>
                <w:rFonts w:ascii="標楷體" w:eastAsia="標楷體" w:hAnsi="標楷體" w:cs="標楷體" w:hint="eastAsia"/>
                <w:color w:val="000000" w:themeColor="text1"/>
              </w:rPr>
              <w:t>條</w:t>
            </w:r>
            <w:r w:rsidR="006A7A9B">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復審人因天災或其他不應歸責於己之事由，致遲誤前條之復審期間者，於其原因消滅後十日內，得以書面敘明理由向保訓會申請回復原狀。但遲誤復審期間已逾一年者，不得為之。</w:t>
            </w:r>
          </w:p>
          <w:p w:rsidR="001C1CD3" w:rsidRPr="00D9617F" w:rsidRDefault="001C1CD3" w:rsidP="00077270">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B26991">
              <w:rPr>
                <w:rFonts w:ascii="標楷體" w:eastAsia="標楷體" w:hAnsi="標楷體" w:cs="Times New Roman" w:hint="eastAsia"/>
                <w:color w:val="000000" w:themeColor="text1"/>
              </w:rPr>
              <w:t>申請</w:t>
            </w:r>
            <w:r w:rsidRPr="00D9617F">
              <w:rPr>
                <w:rFonts w:ascii="標楷體" w:eastAsia="標楷體" w:hAnsi="標楷體" w:cs="標楷體" w:hint="eastAsia"/>
                <w:color w:val="000000" w:themeColor="text1"/>
              </w:rPr>
              <w:t>回復原狀，應同時補行期間內應為之復審行為。</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第三</w:t>
            </w:r>
            <w:r w:rsidRPr="00D9617F">
              <w:rPr>
                <w:rFonts w:ascii="標楷體" w:eastAsia="標楷體" w:hAnsi="標楷體" w:cs="標楷體"/>
                <w:color w:val="000000" w:themeColor="text1"/>
              </w:rPr>
              <w:t>十</w:t>
            </w:r>
            <w:r w:rsidRPr="00D9617F">
              <w:rPr>
                <w:rFonts w:ascii="標楷體" w:eastAsia="標楷體" w:hAnsi="標楷體" w:cs="標楷體" w:hint="eastAsia"/>
                <w:color w:val="000000" w:themeColor="text1"/>
              </w:rPr>
              <w:t>二條</w:t>
            </w:r>
            <w:r w:rsidR="006A7A9B">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復審人不在原處分機關所在地住居者，計算法定期間，應扣除在途期間。但有復審代理人住居原處分機關所在地，得為期間內應為之復審行為者，不在此限。</w:t>
            </w:r>
          </w:p>
          <w:p w:rsidR="001C1CD3" w:rsidRPr="00D9617F" w:rsidRDefault="001C1CD3" w:rsidP="00077270">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前項扣除在途期間之辦法，由保訓會定之。</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6A7A9B">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第三</w:t>
            </w:r>
            <w:r w:rsidRPr="00D9617F">
              <w:rPr>
                <w:rFonts w:ascii="標楷體" w:eastAsia="標楷體" w:hAnsi="標楷體" w:cs="標楷體"/>
                <w:color w:val="000000" w:themeColor="text1"/>
              </w:rPr>
              <w:t>十三</w:t>
            </w:r>
            <w:r w:rsidRPr="00D9617F">
              <w:rPr>
                <w:rFonts w:ascii="標楷體" w:eastAsia="標楷體" w:hAnsi="標楷體" w:cs="標楷體" w:hint="eastAsia"/>
                <w:color w:val="000000" w:themeColor="text1"/>
              </w:rPr>
              <w:t>條</w:t>
            </w:r>
            <w:r w:rsidR="006A7A9B">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期日期間，除本法另有規定外，準用行政程序法之規定。</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第三十四條</w:t>
            </w:r>
            <w:r w:rsidR="006A7A9B">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能獨立以法律行為負義務者，有復審能力。無復審能力人應由其法定代理人代為復審行為。</w:t>
            </w:r>
          </w:p>
          <w:p w:rsidR="001C1CD3" w:rsidRPr="00D9617F" w:rsidRDefault="001C1CD3" w:rsidP="006A7A9B">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關於復審之法定代理，依民法之規定。</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6A7A9B">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第三</w:t>
            </w:r>
            <w:r w:rsidRPr="00D9617F">
              <w:rPr>
                <w:rFonts w:ascii="標楷體" w:eastAsia="標楷體" w:hAnsi="標楷體" w:cs="標楷體"/>
                <w:color w:val="000000" w:themeColor="text1"/>
              </w:rPr>
              <w:t>十五</w:t>
            </w:r>
            <w:r w:rsidRPr="00D9617F">
              <w:rPr>
                <w:rFonts w:ascii="標楷體" w:eastAsia="標楷體" w:hAnsi="標楷體" w:cs="標楷體" w:hint="eastAsia"/>
                <w:color w:val="000000" w:themeColor="text1"/>
              </w:rPr>
              <w:t>條</w:t>
            </w:r>
            <w:r w:rsidR="006A7A9B">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多數人對於同一原因事實之行政處分共同提起復審時，得選定三人以下之代表人；其未選定代表人者，保訓會得限期通知其選定代表人；逾期不選定者，保訓會得依職權指定之。</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第三</w:t>
            </w:r>
            <w:r w:rsidRPr="00D9617F">
              <w:rPr>
                <w:rFonts w:ascii="標楷體" w:eastAsia="標楷體" w:hAnsi="標楷體" w:cs="標楷體"/>
                <w:color w:val="000000" w:themeColor="text1"/>
              </w:rPr>
              <w:t>十六</w:t>
            </w:r>
            <w:r w:rsidRPr="00D9617F">
              <w:rPr>
                <w:rFonts w:ascii="標楷體" w:eastAsia="標楷體" w:hAnsi="標楷體" w:cs="標楷體" w:hint="eastAsia"/>
                <w:color w:val="000000" w:themeColor="text1"/>
              </w:rPr>
              <w:t>條  代表人之選定、更換或增減，應提出文書證明並通知保訓會，始生效力。</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第三</w:t>
            </w:r>
            <w:r w:rsidRPr="00D9617F">
              <w:rPr>
                <w:rFonts w:ascii="標楷體" w:eastAsia="標楷體" w:hAnsi="標楷體" w:cs="標楷體"/>
                <w:color w:val="000000" w:themeColor="text1"/>
              </w:rPr>
              <w:t>十</w:t>
            </w:r>
            <w:r w:rsidRPr="00D9617F">
              <w:rPr>
                <w:rFonts w:ascii="標楷體" w:eastAsia="標楷體" w:hAnsi="標楷體" w:cs="標楷體" w:hint="eastAsia"/>
                <w:color w:val="000000" w:themeColor="text1"/>
              </w:rPr>
              <w:t>七條</w:t>
            </w:r>
            <w:r w:rsidR="006A7A9B">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代表人經選定或指定後，由其代表全體復審人為復審行為。但撤回復審，非經全體復審人書面同意，不得為之。</w:t>
            </w:r>
          </w:p>
          <w:p w:rsidR="001C1CD3" w:rsidRPr="00D9617F" w:rsidRDefault="001C1CD3" w:rsidP="00077270">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代表人有二人以上者，均得單獨代表共同復審人為復審行為。</w:t>
            </w:r>
          </w:p>
          <w:p w:rsidR="001C1CD3" w:rsidRPr="00D9617F" w:rsidRDefault="001C1CD3" w:rsidP="00077270">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代表人之代表權不因其他共同復審人死亡、喪失復審能力或法定代理變更而消滅。</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第三</w:t>
            </w:r>
            <w:r w:rsidRPr="00D9617F">
              <w:rPr>
                <w:rFonts w:ascii="標楷體" w:eastAsia="標楷體" w:hAnsi="標楷體" w:cs="標楷體"/>
                <w:color w:val="000000" w:themeColor="text1"/>
              </w:rPr>
              <w:t>十八</w:t>
            </w:r>
            <w:r w:rsidRPr="00D9617F">
              <w:rPr>
                <w:rFonts w:ascii="標楷體" w:eastAsia="標楷體" w:hAnsi="標楷體" w:cs="標楷體" w:hint="eastAsia"/>
                <w:color w:val="000000" w:themeColor="text1"/>
              </w:rPr>
              <w:t>條</w:t>
            </w:r>
            <w:r w:rsidR="006A7A9B">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復審人得委任熟諳法律或有專業知識之人為代理人，每一復審人委任者以不超過三人為限，並應於最初為復審代理行為時，向保訓會提出委任書。</w:t>
            </w:r>
          </w:p>
          <w:p w:rsidR="001C1CD3" w:rsidRPr="00D9617F" w:rsidRDefault="001C1CD3" w:rsidP="00077270">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保訓會認為復審代理人不適當時，得禁止之，並以書面通知復審人。</w:t>
            </w:r>
          </w:p>
          <w:p w:rsidR="001C1CD3" w:rsidRPr="00D9617F" w:rsidRDefault="001C1CD3" w:rsidP="00077270">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復審代理人之更換、增減或解除，非以書面通知保訓會，不生效力。</w:t>
            </w:r>
          </w:p>
          <w:p w:rsidR="001C1CD3" w:rsidRPr="00D9617F" w:rsidRDefault="001C1CD3" w:rsidP="00077270">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復審委任之解除，由復審代理人提出者，自為解除意思表示之日起十五日內，仍應為維護復審人權利或利益之必要行為。</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第三</w:t>
            </w:r>
            <w:r w:rsidRPr="00D9617F">
              <w:rPr>
                <w:rFonts w:ascii="標楷體" w:eastAsia="標楷體" w:hAnsi="標楷體" w:cs="標楷體"/>
                <w:color w:val="000000" w:themeColor="text1"/>
              </w:rPr>
              <w:t>十九</w:t>
            </w:r>
            <w:r w:rsidRPr="00D9617F">
              <w:rPr>
                <w:rFonts w:ascii="標楷體" w:eastAsia="標楷體" w:hAnsi="標楷體" w:cs="標楷體" w:hint="eastAsia"/>
                <w:color w:val="000000" w:themeColor="text1"/>
              </w:rPr>
              <w:t>條</w:t>
            </w:r>
            <w:r w:rsidR="006A7A9B">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復審代理人就其受委任之事件，得為一切復審行為。但撤回復審，非受特別委任不得為之。復審代理人有二人以上者，均得單獨代理復審人。</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違反前項規定而為委任者，其復審代理人仍得單獨代理。</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復審代理人事實上之陳述，經到場之復審人本人即時撤銷或更正者，不生效力。</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復審代理權不因復審人本人死亡、破產、喪失復審能力或法定代理變更而消滅。</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第四</w:t>
            </w:r>
            <w:r w:rsidRPr="00D9617F">
              <w:rPr>
                <w:rFonts w:ascii="標楷體" w:eastAsia="標楷體" w:hAnsi="標楷體" w:cs="標楷體"/>
                <w:color w:val="000000" w:themeColor="text1"/>
              </w:rPr>
              <w:t>十</w:t>
            </w:r>
            <w:r w:rsidRPr="00D9617F">
              <w:rPr>
                <w:rFonts w:ascii="標楷體" w:eastAsia="標楷體" w:hAnsi="標楷體" w:cs="標楷體" w:hint="eastAsia"/>
                <w:color w:val="000000" w:themeColor="text1"/>
              </w:rPr>
              <w:t>條</w:t>
            </w:r>
            <w:r w:rsidR="006A7A9B">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復審人或復審代理人經保訓會之許可，得於期日偕同輔佐人到場。</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保訓會認為必要時，亦得命復審人或復審代理人偕同輔佐人到場。</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前二項之輔佐人，保訓會認為不適當時，得廢止其許可或禁止其續為輔佐。</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輔佐人到場所為之陳述，復審人或復審代理人不即時撤銷或更正者，視為其所自為。</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第四</w:t>
            </w:r>
            <w:r w:rsidRPr="00D9617F">
              <w:rPr>
                <w:rFonts w:ascii="標楷體" w:eastAsia="標楷體" w:hAnsi="標楷體" w:cs="標楷體"/>
                <w:color w:val="000000" w:themeColor="text1"/>
              </w:rPr>
              <w:t>十一</w:t>
            </w:r>
            <w:r w:rsidRPr="00D9617F">
              <w:rPr>
                <w:rFonts w:ascii="標楷體" w:eastAsia="標楷體" w:hAnsi="標楷體" w:cs="標楷體" w:hint="eastAsia"/>
                <w:color w:val="000000" w:themeColor="text1"/>
              </w:rPr>
              <w:t>條</w:t>
            </w:r>
            <w:r w:rsidR="006A7A9B">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復審事件之文書，保訓會應編為卷宗保存。</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保訓會審議復審事件，應指定人員製作審議紀錄附卷，並得以錄音或錄影輔助之；其經言詞辯論者，應另行製作辯論要旨，編為審議紀錄之附件。</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第四</w:t>
            </w:r>
            <w:r w:rsidRPr="00D9617F">
              <w:rPr>
                <w:rFonts w:ascii="標楷體" w:eastAsia="標楷體" w:hAnsi="標楷體" w:cs="標楷體"/>
                <w:color w:val="000000" w:themeColor="text1"/>
              </w:rPr>
              <w:t>十二</w:t>
            </w:r>
            <w:r w:rsidRPr="00D9617F">
              <w:rPr>
                <w:rFonts w:ascii="標楷體" w:eastAsia="標楷體" w:hAnsi="標楷體" w:cs="標楷體" w:hint="eastAsia"/>
                <w:color w:val="000000" w:themeColor="text1"/>
              </w:rPr>
              <w:t>條</w:t>
            </w:r>
            <w:r w:rsidR="006A7A9B">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復審人或其代理人得向保訓會請求閱覽、抄錄、影印或攝錄卷內文書，或預納費用請求付與繕本、影本或節本。但以維護其法律上利益有必要者為限。</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保訓會對前項之請求，除有下列情形之一者外，不得拒絕：</w:t>
            </w:r>
          </w:p>
          <w:p w:rsidR="001C1CD3" w:rsidRPr="00D9617F" w:rsidRDefault="001C1CD3" w:rsidP="00077270">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一、復審事件決定擬辦之文稿。</w:t>
            </w:r>
          </w:p>
          <w:p w:rsidR="001C1CD3" w:rsidRPr="00D9617F" w:rsidRDefault="001C1CD3" w:rsidP="00077270">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二、復審事件決定之準備或審議文件。</w:t>
            </w:r>
          </w:p>
          <w:p w:rsidR="001C1CD3" w:rsidRPr="00D9617F" w:rsidRDefault="001C1CD3" w:rsidP="00077270">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三、為第三人之正當權益有保密之必要者。</w:t>
            </w:r>
          </w:p>
          <w:p w:rsidR="001C1CD3" w:rsidRPr="00D9617F" w:rsidRDefault="001C1CD3" w:rsidP="00077270">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四、其他依法律或基於公益，有保密之必要者。第一項之收費標準，由保訓會定之。</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第四</w:t>
            </w:r>
            <w:r w:rsidRPr="00D9617F">
              <w:rPr>
                <w:rFonts w:ascii="標楷體" w:eastAsia="標楷體" w:hAnsi="標楷體" w:cs="標楷體"/>
                <w:color w:val="000000" w:themeColor="text1"/>
              </w:rPr>
              <w:t>十三</w:t>
            </w:r>
            <w:r w:rsidRPr="00D9617F">
              <w:rPr>
                <w:rFonts w:ascii="標楷體" w:eastAsia="標楷體" w:hAnsi="標楷體" w:cs="標楷體" w:hint="eastAsia"/>
                <w:color w:val="000000" w:themeColor="text1"/>
              </w:rPr>
              <w:t>條</w:t>
            </w:r>
            <w:r w:rsidR="006A7A9B">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提起復審應具復審書，載明下列事項，由復審人或其代理人簽名或蓋章：</w:t>
            </w:r>
          </w:p>
          <w:p w:rsidR="001C1CD3" w:rsidRPr="00D9617F" w:rsidRDefault="001C1CD3" w:rsidP="00077270">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一、復審人之姓名、出生年月日、性別、住居所、國民身分證統一編號。有代理人者，其姓名、出生年月日、性別、職業、住居所或事務所、國民身分證統一編號。</w:t>
            </w:r>
          </w:p>
          <w:p w:rsidR="001C1CD3" w:rsidRPr="00D9617F" w:rsidRDefault="001C1CD3" w:rsidP="00077270">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二、復審人之服務機關、職稱、官職等。</w:t>
            </w:r>
          </w:p>
          <w:p w:rsidR="001C1CD3" w:rsidRPr="00D9617F" w:rsidRDefault="001C1CD3" w:rsidP="00077270">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三、原處分機關。</w:t>
            </w:r>
          </w:p>
          <w:p w:rsidR="001C1CD3" w:rsidRPr="00D9617F" w:rsidRDefault="001C1CD3" w:rsidP="00077270">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四、復審請求事項。</w:t>
            </w:r>
          </w:p>
          <w:p w:rsidR="001C1CD3" w:rsidRPr="00D9617F" w:rsidRDefault="001C1CD3" w:rsidP="00077270">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五、事實及理由。</w:t>
            </w:r>
          </w:p>
          <w:p w:rsidR="001C1CD3" w:rsidRPr="00D9617F" w:rsidRDefault="001C1CD3" w:rsidP="00077270">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六、證據。其為文書者，應添具影本或繕本。</w:t>
            </w:r>
          </w:p>
          <w:p w:rsidR="001C1CD3" w:rsidRPr="00D9617F" w:rsidRDefault="001C1CD3" w:rsidP="00077270">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七、行政處分達到之年月日。</w:t>
            </w:r>
          </w:p>
          <w:p w:rsidR="001C1CD3" w:rsidRPr="00D9617F" w:rsidRDefault="001C1CD3" w:rsidP="00077270">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八、提起之年月日。</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提起復審應附原行政處分書影本。依第二十六條第一項規定提起復審者，第一項第三款、第七款所列事項，載明應為行政處分之機關、申請之年月日，並附原申請書之影本及受理申請機關收受證明。</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第四十四條</w:t>
            </w:r>
            <w:r w:rsidR="006A7A9B">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復審人應繕具復審書經由原處分機關向保訓會提起復審。</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原處分機關對於前項復審應先行重新審查原行政處分是否合法妥當，其認為復審為有理由者，得自行變更或撤銷原行政處分，並函知保訓會。</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原處分機關自收到復審書之次日起二十日內，不依復審人之請求變更或撤銷原行政處分者，應附具答辯書，並將必要之關係文件，送於保訓會。</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原處分機關檢卷答辯時，應將前項答辯書抄送復審人。</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復審人向保訓會提起復審者，保訓會應將復審書影本或副本送交原處分機關依第二項至第四項規定辦理。</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6A7A9B">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第四</w:t>
            </w:r>
            <w:r w:rsidRPr="00D9617F">
              <w:rPr>
                <w:rFonts w:ascii="標楷體" w:eastAsia="標楷體" w:hAnsi="標楷體" w:cs="標楷體"/>
                <w:color w:val="000000" w:themeColor="text1"/>
              </w:rPr>
              <w:t>十五</w:t>
            </w:r>
            <w:r w:rsidRPr="00D9617F">
              <w:rPr>
                <w:rFonts w:ascii="標楷體" w:eastAsia="標楷體" w:hAnsi="標楷體" w:cs="標楷體" w:hint="eastAsia"/>
                <w:color w:val="000000" w:themeColor="text1"/>
              </w:rPr>
              <w:t>條</w:t>
            </w:r>
            <w:r w:rsidR="006A7A9B">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原處分機關未於前條第三項期間內處理者，保訓會得依職權或依復審人之申請，通知原處分機關於十五日內檢送相關卷證資料；逾期未檢送者，保訓會得逕為決定。</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6A7A9B">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第四</w:t>
            </w:r>
            <w:r w:rsidRPr="00D9617F">
              <w:rPr>
                <w:rFonts w:ascii="標楷體" w:eastAsia="標楷體" w:hAnsi="標楷體" w:cs="標楷體"/>
                <w:color w:val="000000" w:themeColor="text1"/>
              </w:rPr>
              <w:t>十六</w:t>
            </w:r>
            <w:r w:rsidRPr="00D9617F">
              <w:rPr>
                <w:rFonts w:ascii="標楷體" w:eastAsia="標楷體" w:hAnsi="標楷體" w:cs="標楷體" w:hint="eastAsia"/>
                <w:color w:val="000000" w:themeColor="text1"/>
              </w:rPr>
              <w:t>條</w:t>
            </w:r>
            <w:r w:rsidR="006A7A9B">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復審人在第三十條第一項所定期間向原處分機關或保訓會為不服原行政處分之表示者，視為已在法定期間內提起復審。但應於三十日內補送復審書。</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6A7A9B">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第四十七條</w:t>
            </w:r>
            <w:r w:rsidR="006A7A9B">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復審提起後，於保訓會復審決定書送達前，復審人得撤回之。復審經撤回後，不得再提起同一之復審。</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第四十</w:t>
            </w:r>
            <w:r w:rsidRPr="00D9617F">
              <w:rPr>
                <w:rFonts w:ascii="標楷體" w:eastAsia="標楷體" w:hAnsi="標楷體" w:cs="標楷體"/>
                <w:color w:val="000000" w:themeColor="text1"/>
              </w:rPr>
              <w:t>八</w:t>
            </w:r>
            <w:r w:rsidRPr="00D9617F">
              <w:rPr>
                <w:rFonts w:ascii="標楷體" w:eastAsia="標楷體" w:hAnsi="標楷體" w:cs="標楷體" w:hint="eastAsia"/>
                <w:color w:val="000000" w:themeColor="text1"/>
              </w:rPr>
              <w:t>條</w:t>
            </w:r>
            <w:r w:rsidR="006A7A9B">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復審提起後，復審人死亡或喪失復審能力者，得由其繼承人或其他依法得繼受原行政處分所涉權利或利益之人承受復審程序。但已無取得復審決定之法律上利益或依其性質不得承受者，不在此限。</w:t>
            </w:r>
          </w:p>
          <w:p w:rsidR="001C1CD3" w:rsidRPr="00D9617F" w:rsidRDefault="001C1CD3" w:rsidP="006A7A9B">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依前項規定承受復審者，應於事實發生之日起三十日內，向保訓會檢送繼受權利之證明文件。</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6A7A9B">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第四</w:t>
            </w:r>
            <w:r w:rsidRPr="00D9617F">
              <w:rPr>
                <w:rFonts w:ascii="標楷體" w:eastAsia="標楷體" w:hAnsi="標楷體" w:cs="標楷體"/>
                <w:color w:val="000000" w:themeColor="text1"/>
              </w:rPr>
              <w:t>十九</w:t>
            </w:r>
            <w:r w:rsidRPr="00D9617F">
              <w:rPr>
                <w:rFonts w:ascii="標楷體" w:eastAsia="標楷體" w:hAnsi="標楷體" w:cs="標楷體" w:hint="eastAsia"/>
                <w:color w:val="000000" w:themeColor="text1"/>
              </w:rPr>
              <w:t>條</w:t>
            </w:r>
            <w:r w:rsidR="006A7A9B">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保訓會認為復審書不合法定程式，而其情形可補正者，應通知復審人於二十日內補正。</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第五</w:t>
            </w:r>
            <w:r w:rsidRPr="00D9617F">
              <w:rPr>
                <w:rFonts w:ascii="標楷體" w:eastAsia="標楷體" w:hAnsi="標楷體" w:cs="標楷體"/>
                <w:color w:val="000000" w:themeColor="text1"/>
              </w:rPr>
              <w:t>十</w:t>
            </w:r>
            <w:r w:rsidRPr="00D9617F">
              <w:rPr>
                <w:rFonts w:ascii="標楷體" w:eastAsia="標楷體" w:hAnsi="標楷體" w:cs="標楷體" w:hint="eastAsia"/>
                <w:color w:val="000000" w:themeColor="text1"/>
              </w:rPr>
              <w:t>條  復審就書面審查決定之。</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保訓會必要時，得通知復審人或有關人員到達指定處所陳述意見並接受詢問。</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復審人請求陳述意見而有正當理由者，應予到達指定處所陳述意見之機會。</w:t>
            </w:r>
          </w:p>
        </w:tc>
        <w:tc>
          <w:tcPr>
            <w:tcW w:w="2977" w:type="dxa"/>
          </w:tcPr>
          <w:p w:rsidR="001C1CD3" w:rsidRPr="00D9617F" w:rsidRDefault="001C1CD3" w:rsidP="00B26991">
            <w:pPr>
              <w:kinsoku w:val="0"/>
              <w:overflowPunct w:val="0"/>
              <w:autoSpaceDE w:val="0"/>
              <w:autoSpaceDN w:val="0"/>
              <w:spacing w:line="460" w:lineRule="exact"/>
              <w:ind w:leftChars="50" w:left="120" w:firstLineChars="200" w:firstLine="480"/>
              <w:jc w:val="both"/>
              <w:rPr>
                <w:rFonts w:ascii="標楷體" w:eastAsia="標楷體" w:hAnsi="標楷體" w:cs="標楷體"/>
                <w:color w:val="000000" w:themeColor="text1"/>
              </w:rPr>
            </w:pPr>
          </w:p>
        </w:tc>
        <w:tc>
          <w:tcPr>
            <w:tcW w:w="2551" w:type="dxa"/>
          </w:tcPr>
          <w:p w:rsidR="001C1CD3" w:rsidRPr="00D9617F" w:rsidRDefault="001C1CD3" w:rsidP="00B26991">
            <w:pPr>
              <w:kinsoku w:val="0"/>
              <w:overflowPunct w:val="0"/>
              <w:autoSpaceDE w:val="0"/>
              <w:autoSpaceDN w:val="0"/>
              <w:spacing w:line="460" w:lineRule="exact"/>
              <w:ind w:leftChars="50" w:left="120" w:firstLineChars="200" w:firstLine="480"/>
              <w:jc w:val="both"/>
              <w:rPr>
                <w:rFonts w:ascii="標楷體" w:eastAsia="標楷體" w:hAnsi="標楷體" w:cs="標楷體"/>
                <w:color w:val="000000" w:themeColor="text1"/>
              </w:rPr>
            </w:pPr>
          </w:p>
        </w:tc>
      </w:tr>
      <w:tr w:rsidR="001C1CD3" w:rsidRPr="00D9617F" w:rsidTr="005326B5">
        <w:trPr>
          <w:trHeight w:val="139"/>
        </w:trPr>
        <w:tc>
          <w:tcPr>
            <w:tcW w:w="4212" w:type="dxa"/>
          </w:tcPr>
          <w:p w:rsidR="001C1CD3" w:rsidRPr="00D9617F" w:rsidRDefault="001C1CD3" w:rsidP="006A7A9B">
            <w:pPr>
              <w:kinsoku w:val="0"/>
              <w:overflowPunct w:val="0"/>
              <w:autoSpaceDE w:val="0"/>
              <w:autoSpaceDN w:val="0"/>
              <w:spacing w:line="460" w:lineRule="exact"/>
              <w:ind w:leftChars="50" w:left="36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第五</w:t>
            </w:r>
            <w:r w:rsidRPr="00D9617F">
              <w:rPr>
                <w:rFonts w:ascii="標楷體" w:eastAsia="標楷體" w:hAnsi="標楷體" w:cs="標楷體"/>
                <w:color w:val="000000" w:themeColor="text1"/>
              </w:rPr>
              <w:t>十一</w:t>
            </w:r>
            <w:r w:rsidRPr="00D9617F">
              <w:rPr>
                <w:rFonts w:ascii="標楷體" w:eastAsia="標楷體" w:hAnsi="標楷體" w:cs="標楷體" w:hint="eastAsia"/>
                <w:color w:val="000000" w:themeColor="text1"/>
              </w:rPr>
              <w:t>條</w:t>
            </w:r>
            <w:r w:rsidR="006A7A9B">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保訓會主任委員得指定副主任委員、委員聽取前條到場人員之陳述。</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6A7A9B">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第五</w:t>
            </w:r>
            <w:r w:rsidRPr="00D9617F">
              <w:rPr>
                <w:rFonts w:ascii="標楷體" w:eastAsia="標楷體" w:hAnsi="標楷體" w:cs="標楷體"/>
                <w:color w:val="000000" w:themeColor="text1"/>
              </w:rPr>
              <w:t>十二</w:t>
            </w:r>
            <w:r w:rsidRPr="00D9617F">
              <w:rPr>
                <w:rFonts w:ascii="標楷體" w:eastAsia="標楷體" w:hAnsi="標楷體" w:cs="標楷體" w:hint="eastAsia"/>
                <w:color w:val="000000" w:themeColor="text1"/>
              </w:rPr>
              <w:t>條</w:t>
            </w:r>
            <w:r w:rsidR="006A7A9B">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保訓會必要時，得依職權或依復審人之申請，通知復審人或其代表人、復審代理人、輔佐人及原處分機關派員於指定期日到達指定處所言詞辯論。</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6A7A9B">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第五</w:t>
            </w:r>
            <w:r w:rsidRPr="00D9617F">
              <w:rPr>
                <w:rFonts w:ascii="標楷體" w:eastAsia="標楷體" w:hAnsi="標楷體" w:cs="標楷體"/>
                <w:color w:val="000000" w:themeColor="text1"/>
              </w:rPr>
              <w:t>十三</w:t>
            </w:r>
            <w:r w:rsidRPr="00D9617F">
              <w:rPr>
                <w:rFonts w:ascii="標楷體" w:eastAsia="標楷體" w:hAnsi="標楷體" w:cs="標楷體" w:hint="eastAsia"/>
                <w:color w:val="000000" w:themeColor="text1"/>
              </w:rPr>
              <w:t>條</w:t>
            </w:r>
            <w:r w:rsidR="006A7A9B">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言詞辯論由保訓會主任委員或其指定之副主任委員、委員主持之。</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第五</w:t>
            </w:r>
            <w:r w:rsidRPr="00D9617F">
              <w:rPr>
                <w:rFonts w:ascii="標楷體" w:eastAsia="標楷體" w:hAnsi="標楷體" w:cs="標楷體"/>
                <w:color w:val="000000" w:themeColor="text1"/>
              </w:rPr>
              <w:t>十四</w:t>
            </w:r>
            <w:r w:rsidRPr="00D9617F">
              <w:rPr>
                <w:rFonts w:ascii="標楷體" w:eastAsia="標楷體" w:hAnsi="標楷體" w:cs="標楷體" w:hint="eastAsia"/>
                <w:color w:val="000000" w:themeColor="text1"/>
              </w:rPr>
              <w:t>條</w:t>
            </w:r>
            <w:r w:rsidR="006A7A9B">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言詞辯論之程序如下：</w:t>
            </w:r>
          </w:p>
          <w:p w:rsidR="001C1CD3" w:rsidRPr="00D9617F" w:rsidRDefault="001C1CD3" w:rsidP="001E60EA">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一、主持人或其指定之人員陳述事件要旨。</w:t>
            </w:r>
          </w:p>
          <w:p w:rsidR="001C1CD3" w:rsidRPr="00D9617F" w:rsidRDefault="001C1CD3" w:rsidP="001E60EA">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二、復審人或其代理人就事件為事實上及法律上之陳述。</w:t>
            </w:r>
          </w:p>
          <w:p w:rsidR="001C1CD3" w:rsidRPr="00D9617F" w:rsidRDefault="001C1CD3" w:rsidP="001E60EA">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三、原處分機關就事件為事實上及法律上之陳述。</w:t>
            </w:r>
          </w:p>
          <w:p w:rsidR="001C1CD3" w:rsidRPr="00D9617F" w:rsidRDefault="001C1CD3" w:rsidP="001E60EA">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四、有關機關或人員之陳述。</w:t>
            </w:r>
          </w:p>
          <w:p w:rsidR="001C1CD3" w:rsidRPr="00D9617F" w:rsidRDefault="001C1CD3" w:rsidP="001E60EA">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五、復審人或原處分機關對他方之陳述或答辯，為再陳述或再答辯。</w:t>
            </w:r>
          </w:p>
          <w:p w:rsidR="001C1CD3" w:rsidRPr="00D9617F" w:rsidRDefault="001C1CD3" w:rsidP="001E60EA">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六、保訓會委員對復審人及原處分機關或有關人員提出詢問。</w:t>
            </w:r>
          </w:p>
          <w:p w:rsidR="001C1CD3" w:rsidRPr="00D9617F" w:rsidRDefault="001C1CD3" w:rsidP="001E60EA">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七、復審人之最後陳述。</w:t>
            </w:r>
          </w:p>
          <w:p w:rsidR="001C1CD3" w:rsidRPr="00D9617F" w:rsidRDefault="001C1CD3" w:rsidP="006A7A9B">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言詞辯論未完備者，得再為辯論。</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37631F">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第五</w:t>
            </w:r>
            <w:r w:rsidRPr="00D9617F">
              <w:rPr>
                <w:rFonts w:ascii="標楷體" w:eastAsia="標楷體" w:hAnsi="標楷體" w:cs="標楷體"/>
                <w:color w:val="000000" w:themeColor="text1"/>
              </w:rPr>
              <w:t>十五</w:t>
            </w:r>
            <w:r w:rsidRPr="00D9617F">
              <w:rPr>
                <w:rFonts w:ascii="標楷體" w:eastAsia="標楷體" w:hAnsi="標楷體" w:cs="標楷體" w:hint="eastAsia"/>
                <w:color w:val="000000" w:themeColor="text1"/>
              </w:rPr>
              <w:t>條</w:t>
            </w:r>
            <w:r w:rsidR="0037631F">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復審人得提出證據書類或證物。保訓會限定於一定期間內提出者，應於該期間內提出。</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第五</w:t>
            </w:r>
            <w:r w:rsidRPr="00D9617F">
              <w:rPr>
                <w:rFonts w:ascii="標楷體" w:eastAsia="標楷體" w:hAnsi="標楷體" w:cs="標楷體"/>
                <w:color w:val="000000" w:themeColor="text1"/>
              </w:rPr>
              <w:t>十六</w:t>
            </w:r>
            <w:r w:rsidRPr="00D9617F">
              <w:rPr>
                <w:rFonts w:ascii="標楷體" w:eastAsia="標楷體" w:hAnsi="標楷體" w:cs="標楷體" w:hint="eastAsia"/>
                <w:color w:val="000000" w:themeColor="text1"/>
              </w:rPr>
              <w:t>條</w:t>
            </w:r>
            <w:r w:rsidR="0037631F">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保訓會必要時，得依職權或依復審人之申請，命文書或其他物件之持有人提出該物件，並得留置之。</w:t>
            </w:r>
          </w:p>
          <w:p w:rsidR="001C1CD3" w:rsidRPr="00D9617F" w:rsidRDefault="001C1CD3" w:rsidP="006A7A9B">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公務人員或機關掌管之文書或其他物件，保訓會得調閱之。</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前項情形，除有妨害國家機密者外，該公務人員或機關不得拒絕。</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第五</w:t>
            </w:r>
            <w:r w:rsidRPr="00D9617F">
              <w:rPr>
                <w:rFonts w:ascii="標楷體" w:eastAsia="標楷體" w:hAnsi="標楷體" w:cs="標楷體"/>
                <w:color w:val="000000" w:themeColor="text1"/>
              </w:rPr>
              <w:t>十</w:t>
            </w:r>
            <w:r w:rsidRPr="00D9617F">
              <w:rPr>
                <w:rFonts w:ascii="標楷體" w:eastAsia="標楷體" w:hAnsi="標楷體" w:cs="標楷體" w:hint="eastAsia"/>
                <w:color w:val="000000" w:themeColor="text1"/>
              </w:rPr>
              <w:t>七條</w:t>
            </w:r>
            <w:r w:rsidR="0037631F">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保訓會必要時，得依職權或囑託有關機關、學校、團體或具專門知識經驗者，就必要之物件、證據，實施檢驗、勘驗或鑑定。</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前項所需費用由保訓會負擔。</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保訓會依第一項檢驗、勘驗或鑑定之結果，非經賦予復審人表示意見之機會，不得採為對之不利之復審決定之基礎。</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復審人願自行負擔費用而請求依第一項規定實施檢驗、勘驗或鑑定時，保訓會非有正當理由不得拒絕。</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依前項規定檢驗、勘驗或鑑定所得結果，據為復審人有利之決定或裁判時，復審人得於事件確定後三十日內，請求保訓會償還必要之費用。</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第五</w:t>
            </w:r>
            <w:r w:rsidRPr="00D9617F">
              <w:rPr>
                <w:rFonts w:ascii="標楷體" w:eastAsia="標楷體" w:hAnsi="標楷體" w:cs="標楷體"/>
                <w:color w:val="000000" w:themeColor="text1"/>
              </w:rPr>
              <w:t>十八</w:t>
            </w:r>
            <w:r w:rsidRPr="00D9617F">
              <w:rPr>
                <w:rFonts w:ascii="標楷體" w:eastAsia="標楷體" w:hAnsi="標楷體" w:cs="標楷體" w:hint="eastAsia"/>
                <w:color w:val="000000" w:themeColor="text1"/>
              </w:rPr>
              <w:t>條</w:t>
            </w:r>
            <w:r w:rsidR="0037631F">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鑑定人依前條所為之鑑定，應具鑑定書陳述意見。保訓會必要時，並得請其到達指定處所說明。</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鑑定人有數人時，得共同陳述意見。但意見不同者，保訓會應使其分別陳述意見。</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鑑定所需資料在原處分機關或保訓會者，保訓會應告知鑑定人准其利用，並得限制其利用之範圍及方法。</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第五</w:t>
            </w:r>
            <w:r w:rsidRPr="00D9617F">
              <w:rPr>
                <w:rFonts w:ascii="標楷體" w:eastAsia="標楷體" w:hAnsi="標楷體" w:cs="標楷體"/>
                <w:color w:val="000000" w:themeColor="text1"/>
              </w:rPr>
              <w:t>十</w:t>
            </w:r>
            <w:r w:rsidRPr="00D9617F">
              <w:rPr>
                <w:rFonts w:ascii="標楷體" w:eastAsia="標楷體" w:hAnsi="標楷體" w:cs="標楷體" w:hint="eastAsia"/>
                <w:color w:val="000000" w:themeColor="text1"/>
              </w:rPr>
              <w:t>九條</w:t>
            </w:r>
            <w:r w:rsidR="0037631F">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原處分機關應將據以處分之證據資料提出於保訓會。</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對於前項之證據資料，復審人或其代理人得請求閱覽、抄錄或影印之。保訓會非有正當理由，不得拒絕。</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第一項證據資料之閱覽、抄錄或影印，保訓會應指定日、時、處所。</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37631F">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第六</w:t>
            </w:r>
            <w:r w:rsidRPr="00D9617F">
              <w:rPr>
                <w:rFonts w:ascii="標楷體" w:eastAsia="標楷體" w:hAnsi="標楷體" w:cs="標楷體"/>
                <w:color w:val="000000" w:themeColor="text1"/>
              </w:rPr>
              <w:t>十</w:t>
            </w:r>
            <w:r w:rsidRPr="00D9617F">
              <w:rPr>
                <w:rFonts w:ascii="標楷體" w:eastAsia="標楷體" w:hAnsi="標楷體" w:cs="標楷體" w:hint="eastAsia"/>
                <w:color w:val="000000" w:themeColor="text1"/>
              </w:rPr>
              <w:t>條</w:t>
            </w:r>
            <w:r w:rsidR="0037631F">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復審人對保訓會於復審程序進行中所為之程序上處置不服者，應併同復審決定提起行政訴訟。</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第六</w:t>
            </w:r>
            <w:r w:rsidRPr="00D9617F">
              <w:rPr>
                <w:rFonts w:ascii="標楷體" w:eastAsia="標楷體" w:hAnsi="標楷體" w:cs="標楷體"/>
                <w:color w:val="000000" w:themeColor="text1"/>
              </w:rPr>
              <w:t>十一</w:t>
            </w:r>
            <w:r w:rsidRPr="00D9617F">
              <w:rPr>
                <w:rFonts w:ascii="標楷體" w:eastAsia="標楷體" w:hAnsi="標楷體" w:cs="標楷體" w:hint="eastAsia"/>
                <w:color w:val="000000" w:themeColor="text1"/>
              </w:rPr>
              <w:t>條  復審事件有下列各款情形之一者，應為不受理決定：</w:t>
            </w:r>
          </w:p>
          <w:p w:rsidR="001C1CD3" w:rsidRPr="00D9617F" w:rsidRDefault="001C1CD3" w:rsidP="001E60EA">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一、復審書不合法定程式不能補正或經酌定相當期間通知補正逾期不補正者。</w:t>
            </w:r>
          </w:p>
          <w:p w:rsidR="001C1CD3" w:rsidRPr="00D9617F" w:rsidRDefault="001C1CD3" w:rsidP="001E60EA">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二、提起復審逾法定期間或未於第四十六條但書所定期間，補送復審書者。</w:t>
            </w:r>
          </w:p>
          <w:p w:rsidR="001C1CD3" w:rsidRPr="00D9617F" w:rsidRDefault="001C1CD3" w:rsidP="001E60EA">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三、復審人無復審能力而未由法定代理人代為復審行為，經通知補正逾期不補正者。</w:t>
            </w:r>
          </w:p>
          <w:p w:rsidR="001C1CD3" w:rsidRPr="00D9617F" w:rsidRDefault="001C1CD3" w:rsidP="001E60EA">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四、復審人不適格者。</w:t>
            </w:r>
          </w:p>
          <w:p w:rsidR="001C1CD3" w:rsidRPr="00D9617F" w:rsidRDefault="001C1CD3" w:rsidP="001E60EA">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五、行政處分已不存在者。</w:t>
            </w:r>
          </w:p>
          <w:p w:rsidR="001C1CD3" w:rsidRPr="00D9617F" w:rsidRDefault="001C1CD3" w:rsidP="001E60EA">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六、對已決定或已撤回之復審事件重行提起復審者。</w:t>
            </w:r>
          </w:p>
          <w:p w:rsidR="001C1CD3" w:rsidRPr="00D9617F" w:rsidRDefault="001C1CD3" w:rsidP="001E60EA">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七、對不屬復審救濟範圍內之事項，提起復審者。</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前項第五款情形，如復審人因該處分之撤銷而有可回復之法律上利益時，不得為不受理之決定。</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第一項第七款情形，如屬應提起申訴、再申訴事項，公務人員誤提復審者，保訓會應移轉申訴受理機關依申訴程序處理，並通知該公務人員，不得逕為不受理決定。</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37631F">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第六</w:t>
            </w:r>
            <w:r w:rsidRPr="00D9617F">
              <w:rPr>
                <w:rFonts w:ascii="標楷體" w:eastAsia="標楷體" w:hAnsi="標楷體" w:cs="標楷體"/>
                <w:color w:val="000000" w:themeColor="text1"/>
              </w:rPr>
              <w:t>十二</w:t>
            </w:r>
            <w:r w:rsidRPr="00D9617F">
              <w:rPr>
                <w:rFonts w:ascii="標楷體" w:eastAsia="標楷體" w:hAnsi="標楷體" w:cs="標楷體" w:hint="eastAsia"/>
                <w:color w:val="000000" w:themeColor="text1"/>
              </w:rPr>
              <w:t>條</w:t>
            </w:r>
            <w:r w:rsidR="0037631F">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分別提起之數宗復審事件係基於同一或同種類之事實上或法律上之原因者，保訓會得合併審議，並得合併決定。</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第六</w:t>
            </w:r>
            <w:r w:rsidRPr="00D9617F">
              <w:rPr>
                <w:rFonts w:ascii="標楷體" w:eastAsia="標楷體" w:hAnsi="標楷體" w:cs="標楷體"/>
                <w:color w:val="000000" w:themeColor="text1"/>
              </w:rPr>
              <w:t>十三</w:t>
            </w:r>
            <w:r w:rsidRPr="00D9617F">
              <w:rPr>
                <w:rFonts w:ascii="標楷體" w:eastAsia="標楷體" w:hAnsi="標楷體" w:cs="標楷體" w:hint="eastAsia"/>
                <w:color w:val="000000" w:themeColor="text1"/>
              </w:rPr>
              <w:t>條</w:t>
            </w:r>
            <w:r w:rsidR="0037631F">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復審無理由者，保訓會應以決定駁回之。</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原行政處分所憑之理由雖屬不當，但依其他理由認為正當者，應以復審為無理由。</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復審事件涉及地方自治團體之地方自治事務者，保訓會僅就原行政處分之合法性進行審查決定。</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37631F">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第六十四條</w:t>
            </w:r>
            <w:r w:rsidR="0037631F">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提起復審因逾法定期間而為不受理決定時，原行政處分顯屬違法或顯然不當者，保訓會應於決定理由中指明。</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第六</w:t>
            </w:r>
            <w:r w:rsidRPr="00D9617F">
              <w:rPr>
                <w:rFonts w:ascii="標楷體" w:eastAsia="標楷體" w:hAnsi="標楷體" w:cs="標楷體"/>
                <w:color w:val="000000" w:themeColor="text1"/>
              </w:rPr>
              <w:t>十五</w:t>
            </w:r>
            <w:r w:rsidRPr="00D9617F">
              <w:rPr>
                <w:rFonts w:ascii="標楷體" w:eastAsia="標楷體" w:hAnsi="標楷體" w:cs="標楷體" w:hint="eastAsia"/>
                <w:color w:val="000000" w:themeColor="text1"/>
              </w:rPr>
              <w:t>條</w:t>
            </w:r>
            <w:r w:rsidR="0037631F">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復審有理由者，保訓會應於復審人表示不服之範圍內，以決定撤銷原行政處分之全部或一部，並得視事件之情節，發回原處分機關另為處分。但原處分機關於復審人表示不服之範圍內，不得為更不利益之處分。</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前項發回原處分機關另為處分，原處分機關未於規定期限內依復審決定意旨處理，經復審人再提起復審時，保訓會得逕為變更之決定。</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第六</w:t>
            </w:r>
            <w:r w:rsidRPr="00D9617F">
              <w:rPr>
                <w:rFonts w:ascii="標楷體" w:eastAsia="標楷體" w:hAnsi="標楷體" w:cs="標楷體"/>
                <w:color w:val="000000" w:themeColor="text1"/>
              </w:rPr>
              <w:t>十六</w:t>
            </w:r>
            <w:r w:rsidRPr="00D9617F">
              <w:rPr>
                <w:rFonts w:ascii="標楷體" w:eastAsia="標楷體" w:hAnsi="標楷體" w:cs="標楷體" w:hint="eastAsia"/>
                <w:color w:val="000000" w:themeColor="text1"/>
              </w:rPr>
              <w:t>條</w:t>
            </w:r>
            <w:r w:rsidR="0037631F">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對於依第二十六條第一項提起之復審，保訓會認為有理由者，應指定相當期間，命應作為之機關速為一定之處分。</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保訓會未為前項決定前，應作為之機關已為行政處分者，保訓會應認為復審無理由，以決定駁回之。</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第六</w:t>
            </w:r>
            <w:r w:rsidRPr="00D9617F">
              <w:rPr>
                <w:rFonts w:ascii="標楷體" w:eastAsia="標楷體" w:hAnsi="標楷體" w:cs="標楷體"/>
                <w:color w:val="000000" w:themeColor="text1"/>
              </w:rPr>
              <w:t>十七</w:t>
            </w:r>
            <w:r w:rsidRPr="00D9617F">
              <w:rPr>
                <w:rFonts w:ascii="標楷體" w:eastAsia="標楷體" w:hAnsi="標楷體" w:cs="標楷體" w:hint="eastAsia"/>
                <w:color w:val="000000" w:themeColor="text1"/>
              </w:rPr>
              <w:t>條</w:t>
            </w:r>
            <w:r w:rsidR="0037631F">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保訓會發現原行政處分雖屬違法或顯然不當，但其撤銷或變更於公益有重大損害，經斟酌復審人所受損害、賠償程度、防止方法及其他一切情事，認原行政處分之撤銷或變更顯與公益相違背時，得駁回其復審。</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前項情形，應於決定主文中載明原行政處分違法或顯然不當。</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第六</w:t>
            </w:r>
            <w:r w:rsidRPr="00D9617F">
              <w:rPr>
                <w:rFonts w:ascii="標楷體" w:eastAsia="標楷體" w:hAnsi="標楷體" w:cs="標楷體"/>
                <w:color w:val="000000" w:themeColor="text1"/>
              </w:rPr>
              <w:t>十八</w:t>
            </w:r>
            <w:r w:rsidRPr="00D9617F">
              <w:rPr>
                <w:rFonts w:ascii="標楷體" w:eastAsia="標楷體" w:hAnsi="標楷體" w:cs="標楷體" w:hint="eastAsia"/>
                <w:color w:val="000000" w:themeColor="text1"/>
              </w:rPr>
              <w:t>條  保訓會為前條決定時，得斟酌復審人因違法或顯然不當行政處分所受損害，於決定理由中載明由原處分機關與復審人進行賠償協議。</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前項協議，與國家賠償法之協議有同一之效力。</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第六</w:t>
            </w:r>
            <w:r w:rsidRPr="00D9617F">
              <w:rPr>
                <w:rFonts w:ascii="標楷體" w:eastAsia="標楷體" w:hAnsi="標楷體" w:cs="標楷體"/>
                <w:color w:val="000000" w:themeColor="text1"/>
              </w:rPr>
              <w:t>十九</w:t>
            </w:r>
            <w:r w:rsidRPr="00D9617F">
              <w:rPr>
                <w:rFonts w:ascii="標楷體" w:eastAsia="標楷體" w:hAnsi="標楷體" w:cs="標楷體" w:hint="eastAsia"/>
                <w:color w:val="000000" w:themeColor="text1"/>
              </w:rPr>
              <w:t>條  復審決定應於保訓會收受原處分機關檢卷答辯之次日起三個月內為之；其尚待補正者，自補正之次日起算，未為補正者，自補正期間屆滿之次日起算；復審人係於表示不服後三十日內補送復審書者，自補送之次日起算，未為補送者，自補送期間屆滿之次日起算；復審人於復審事件決定期間內續補具理由者，自最後補具理由之次日起算。</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復審事件不能於前項期間內決定者，得予延長，並通知復審人。延長以一次為限，最長不得逾二個月。</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第七</w:t>
            </w:r>
            <w:r w:rsidRPr="00D9617F">
              <w:rPr>
                <w:rFonts w:ascii="標楷體" w:eastAsia="標楷體" w:hAnsi="標楷體" w:cs="標楷體"/>
                <w:color w:val="000000" w:themeColor="text1"/>
              </w:rPr>
              <w:t>十</w:t>
            </w:r>
            <w:r w:rsidRPr="00D9617F">
              <w:rPr>
                <w:rFonts w:ascii="標楷體" w:eastAsia="標楷體" w:hAnsi="標楷體" w:cs="標楷體" w:hint="eastAsia"/>
                <w:color w:val="000000" w:themeColor="text1"/>
              </w:rPr>
              <w:t>條  復審之決定以他法律關係是否成立為準據，而該法律關係在訴訟或行政救濟程序進行中者，於該法律關係確定前，保訓會得停止復審程序之進行，並即通知復審人。</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保訓會依前項規定停止復審程序之進行者，前條所定復審決定期間，自該法律關係確定之日起，重行起算。</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第七</w:t>
            </w:r>
            <w:r w:rsidRPr="00D9617F">
              <w:rPr>
                <w:rFonts w:ascii="標楷體" w:eastAsia="標楷體" w:hAnsi="標楷體" w:cs="標楷體"/>
                <w:color w:val="000000" w:themeColor="text1"/>
              </w:rPr>
              <w:t>十一</w:t>
            </w:r>
            <w:r w:rsidRPr="00D9617F">
              <w:rPr>
                <w:rFonts w:ascii="標楷體" w:eastAsia="標楷體" w:hAnsi="標楷體" w:cs="標楷體" w:hint="eastAsia"/>
                <w:color w:val="000000" w:themeColor="text1"/>
              </w:rPr>
              <w:t>條</w:t>
            </w:r>
            <w:r w:rsidR="00186D9F">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復審決定書，應載明下列事項：</w:t>
            </w:r>
          </w:p>
          <w:p w:rsidR="001C1CD3" w:rsidRPr="00D9617F" w:rsidRDefault="001C1CD3" w:rsidP="001E60EA">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一、復審人之姓名、出生年月日、服務機關、職稱、住居所、國民身分證統一編號。</w:t>
            </w:r>
          </w:p>
          <w:p w:rsidR="001C1CD3" w:rsidRPr="00D9617F" w:rsidRDefault="001C1CD3" w:rsidP="001E60EA">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二、有法定代理人或復審代理人者，其姓名、出生年月日、住居所、國民身分證統一編號。</w:t>
            </w:r>
          </w:p>
          <w:p w:rsidR="001C1CD3" w:rsidRPr="00D9617F" w:rsidRDefault="001C1CD3" w:rsidP="001E60EA">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三、主文、事實及理由；其係不受理決定者，得不記載事實。</w:t>
            </w:r>
          </w:p>
          <w:p w:rsidR="001C1CD3" w:rsidRPr="00D9617F" w:rsidRDefault="001C1CD3" w:rsidP="001E60EA">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四、決定機關及其首長。</w:t>
            </w:r>
          </w:p>
          <w:p w:rsidR="001C1CD3" w:rsidRPr="00D9617F" w:rsidRDefault="001C1CD3" w:rsidP="001E60EA">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五、年、月、日。</w:t>
            </w:r>
          </w:p>
          <w:p w:rsidR="001C1CD3" w:rsidRPr="00D9617F" w:rsidRDefault="001C1CD3" w:rsidP="00E467D1">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復審決定書之正本應於決定後十五日內送達復審人及原處分機關。</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第七</w:t>
            </w:r>
            <w:r w:rsidRPr="00D9617F">
              <w:rPr>
                <w:rFonts w:ascii="標楷體" w:eastAsia="標楷體" w:hAnsi="標楷體" w:cs="標楷體"/>
                <w:color w:val="000000" w:themeColor="text1"/>
              </w:rPr>
              <w:t>十二</w:t>
            </w:r>
            <w:r w:rsidRPr="00D9617F">
              <w:rPr>
                <w:rFonts w:ascii="標楷體" w:eastAsia="標楷體" w:hAnsi="標楷體" w:cs="標楷體" w:hint="eastAsia"/>
                <w:color w:val="000000" w:themeColor="text1"/>
              </w:rPr>
              <w:t>條</w:t>
            </w:r>
            <w:r w:rsidR="00186D9F">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保訓會復審決定依法得聲明不服者，復審決定書應附記如不服決定，得於決定書送達之次日起二個月內，依法向該管司法機關請求救濟。</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前項附記錯誤時，應通知更正，並自更正通知送達之次日起，計算法定期間。</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如未附記救濟期間，或附記錯誤未通知更正，致復審人遲誤者，如於復審決定書送達之次日起一年內請求救濟，視為於第一項之期間內所為。</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第七</w:t>
            </w:r>
            <w:r w:rsidRPr="00D9617F">
              <w:rPr>
                <w:rFonts w:ascii="標楷體" w:eastAsia="標楷體" w:hAnsi="標楷體" w:cs="標楷體"/>
                <w:color w:val="000000" w:themeColor="text1"/>
              </w:rPr>
              <w:t>十三</w:t>
            </w:r>
            <w:r w:rsidRPr="00D9617F">
              <w:rPr>
                <w:rFonts w:ascii="標楷體" w:eastAsia="標楷體" w:hAnsi="標楷體" w:cs="標楷體" w:hint="eastAsia"/>
                <w:color w:val="000000" w:themeColor="text1"/>
              </w:rPr>
              <w:t>條</w:t>
            </w:r>
            <w:r w:rsidR="00186D9F">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復審事件有下列情形之一者，不予處理：</w:t>
            </w:r>
          </w:p>
          <w:p w:rsidR="001C1CD3" w:rsidRPr="00D9617F" w:rsidRDefault="001C1CD3" w:rsidP="001E60EA">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一、無具體之事實內容者。</w:t>
            </w:r>
          </w:p>
          <w:p w:rsidR="001C1CD3" w:rsidRPr="00D9617F" w:rsidRDefault="001C1CD3" w:rsidP="001E60EA">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二、未具真實姓名、服務機關或住所者。</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第七十四條</w:t>
            </w:r>
            <w:r w:rsidR="00186D9F">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對於無復審能力人為送達者，應向其法定代理人為之。</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法定代理人有二人以上者，送達得僅向其中一人為送達。</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第七十五條  復審代理人除受送達之權限受有限制者外，送達應向該代理人為之。但保訓會認為必要時，得送達於復審人本人。</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第七十六條</w:t>
            </w:r>
            <w:r w:rsidR="00186D9F">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復審事件文書之送達，應註明復審人或其代表人、代理人之住居所、事務所，交付郵政機關以復審事件文書郵務送達證書發送。</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復審事件文書不能為前項之送達時，得由保訓會派員或囑託原處分機關、公務人員服務機關或該管警察機關送達，並由執行送達人作成送達證書。</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復審事件文書之送達，除前二項規定外，準用行政訴訟法第六十七條至第六十九條、第七十一條至第八十三條之規定。第四章申訴及再申訴程序</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1261" w:hangingChars="450" w:hanging="1261"/>
              <w:jc w:val="both"/>
              <w:rPr>
                <w:rFonts w:ascii="標楷體" w:eastAsia="標楷體" w:hAnsi="標楷體" w:cs="Times New Roman"/>
                <w:b/>
                <w:bCs/>
                <w:color w:val="000000" w:themeColor="text1"/>
                <w:sz w:val="28"/>
              </w:rPr>
            </w:pPr>
            <w:r w:rsidRPr="00D9617F">
              <w:rPr>
                <w:rFonts w:ascii="標楷體" w:eastAsia="標楷體" w:hAnsi="標楷體" w:cs="Times New Roman" w:hint="eastAsia"/>
                <w:b/>
                <w:bCs/>
                <w:color w:val="000000" w:themeColor="text1"/>
                <w:sz w:val="28"/>
              </w:rPr>
              <w:t>第四章  申訴及再申訴程序</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b/>
                <w:bCs/>
                <w:color w:val="000000" w:themeColor="text1"/>
                <w:sz w:val="28"/>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b/>
                <w:bCs/>
                <w:color w:val="000000" w:themeColor="text1"/>
                <w:sz w:val="28"/>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第七</w:t>
            </w:r>
            <w:r w:rsidRPr="00D9617F">
              <w:rPr>
                <w:rFonts w:ascii="標楷體" w:eastAsia="標楷體" w:hAnsi="標楷體" w:cs="標楷體"/>
                <w:color w:val="000000" w:themeColor="text1"/>
              </w:rPr>
              <w:t>十七</w:t>
            </w:r>
            <w:r w:rsidRPr="00D9617F">
              <w:rPr>
                <w:rFonts w:ascii="標楷體" w:eastAsia="標楷體" w:hAnsi="標楷體" w:cs="標楷體" w:hint="eastAsia"/>
                <w:color w:val="000000" w:themeColor="text1"/>
              </w:rPr>
              <w:t>條</w:t>
            </w:r>
            <w:r w:rsidR="00186D9F">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公務人員對於服務機關所為之管理措施或有關工作條件之處置認為不當，致影響其權益者，得依本法提起申訴、再申訴。</w:t>
            </w:r>
          </w:p>
          <w:p w:rsidR="001C1CD3" w:rsidRPr="00D9617F" w:rsidRDefault="001C1CD3" w:rsidP="00B26991">
            <w:pPr>
              <w:kinsoku w:val="0"/>
              <w:overflowPunct w:val="0"/>
              <w:autoSpaceDE w:val="0"/>
              <w:autoSpaceDN w:val="0"/>
              <w:spacing w:line="460" w:lineRule="exact"/>
              <w:ind w:leftChars="50" w:left="120"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公務人員提起申訴，應於前項之管理措施或處置達到之次日起三十日內為之。</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公務人員離職後，接獲原服務機關之管理措施或處置者，亦得依前二項規定提起申訴、再申訴。</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第七十八條</w:t>
            </w:r>
            <w:r w:rsidR="00186D9F">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提起申訴，應向服務機關為之。不服服務機關函復者，得於復函送達之次日起三十日內，向保訓會提起再申訴。</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前項之服務機關，以管理措施或有關工作條件之處置之權責處理機關為準。</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第七</w:t>
            </w:r>
            <w:r w:rsidRPr="00D9617F">
              <w:rPr>
                <w:rFonts w:ascii="標楷體" w:eastAsia="標楷體" w:hAnsi="標楷體" w:cs="標楷體"/>
                <w:color w:val="000000" w:themeColor="text1"/>
              </w:rPr>
              <w:t>十九</w:t>
            </w:r>
            <w:r w:rsidRPr="00D9617F">
              <w:rPr>
                <w:rFonts w:ascii="標楷體" w:eastAsia="標楷體" w:hAnsi="標楷體" w:cs="標楷體" w:hint="eastAsia"/>
                <w:color w:val="000000" w:themeColor="text1"/>
              </w:rPr>
              <w:t>條</w:t>
            </w:r>
            <w:r w:rsidR="00186D9F">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應提起復審之事件，公務人員誤提申訴者，申訴受理機關應移由原處分機關依復審程序處理，並通知該公務人員。</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應提起復審之事件，公務人員誤向保訓會逕提再申訴者，保訓會應函請原處分機關依復審程序處理，並通知該公務人員。</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第八</w:t>
            </w:r>
            <w:r w:rsidRPr="00D9617F">
              <w:rPr>
                <w:rFonts w:ascii="標楷體" w:eastAsia="標楷體" w:hAnsi="標楷體" w:cs="標楷體"/>
                <w:color w:val="000000" w:themeColor="text1"/>
              </w:rPr>
              <w:t>十</w:t>
            </w:r>
            <w:r w:rsidRPr="00D9617F">
              <w:rPr>
                <w:rFonts w:ascii="標楷體" w:eastAsia="標楷體" w:hAnsi="標楷體" w:cs="標楷體" w:hint="eastAsia"/>
                <w:color w:val="000000" w:themeColor="text1"/>
              </w:rPr>
              <w:t>條</w:t>
            </w:r>
            <w:r w:rsidR="00186D9F">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申訴應以書面為之，載明下列事項，由申訴人或其代理人簽名或蓋章：</w:t>
            </w:r>
          </w:p>
          <w:p w:rsidR="001C1CD3" w:rsidRPr="00D9617F" w:rsidRDefault="001C1CD3" w:rsidP="001E60EA">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一、申訴人之姓名、出生年月日、性別、住居所、國民身分證統一編號、服務機關、職稱、官職等。有代理人者，其姓名、出生年月日、性別、職業、住居所或事務所、國民身分證統一編號。</w:t>
            </w:r>
          </w:p>
          <w:p w:rsidR="001C1CD3" w:rsidRPr="00D9617F" w:rsidRDefault="001C1CD3" w:rsidP="001E60EA">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二、請求事項。</w:t>
            </w:r>
          </w:p>
          <w:p w:rsidR="001C1CD3" w:rsidRPr="00D9617F" w:rsidRDefault="001C1CD3" w:rsidP="001E60EA">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三、事實及理由。</w:t>
            </w:r>
          </w:p>
          <w:p w:rsidR="001C1CD3" w:rsidRPr="00D9617F" w:rsidRDefault="001C1CD3" w:rsidP="001E60EA">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四、證據。</w:t>
            </w:r>
          </w:p>
          <w:p w:rsidR="001C1CD3" w:rsidRPr="00D9617F" w:rsidRDefault="001C1CD3" w:rsidP="001E60EA">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五、管理措施或有關工作條件之處置達到之年月日。</w:t>
            </w:r>
          </w:p>
          <w:p w:rsidR="001C1CD3" w:rsidRPr="00D9617F" w:rsidRDefault="001C1CD3" w:rsidP="001E60EA">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六、提起之年月日。</w:t>
            </w:r>
          </w:p>
          <w:p w:rsidR="001C1CD3" w:rsidRPr="00D9617F" w:rsidRDefault="001C1CD3" w:rsidP="004D7CD3">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前項規定，於再申訴準用之。</w:t>
            </w:r>
          </w:p>
        </w:tc>
        <w:tc>
          <w:tcPr>
            <w:tcW w:w="2977" w:type="dxa"/>
          </w:tcPr>
          <w:p w:rsidR="001C1CD3" w:rsidRPr="00D9617F" w:rsidRDefault="001C1CD3" w:rsidP="00B26991">
            <w:pPr>
              <w:kinsoku w:val="0"/>
              <w:overflowPunct w:val="0"/>
              <w:autoSpaceDE w:val="0"/>
              <w:autoSpaceDN w:val="0"/>
              <w:spacing w:line="460" w:lineRule="exact"/>
              <w:ind w:leftChars="50" w:left="120" w:firstLineChars="200" w:firstLine="480"/>
              <w:jc w:val="both"/>
              <w:rPr>
                <w:rFonts w:ascii="標楷體" w:eastAsia="標楷體" w:hAnsi="標楷體" w:cs="標楷體"/>
                <w:color w:val="000000" w:themeColor="text1"/>
              </w:rPr>
            </w:pPr>
          </w:p>
        </w:tc>
        <w:tc>
          <w:tcPr>
            <w:tcW w:w="2551" w:type="dxa"/>
          </w:tcPr>
          <w:p w:rsidR="001C1CD3" w:rsidRPr="00D9617F" w:rsidRDefault="001C1CD3" w:rsidP="00B26991">
            <w:pPr>
              <w:kinsoku w:val="0"/>
              <w:overflowPunct w:val="0"/>
              <w:autoSpaceDE w:val="0"/>
              <w:autoSpaceDN w:val="0"/>
              <w:spacing w:line="460" w:lineRule="exact"/>
              <w:ind w:leftChars="50" w:left="120" w:firstLineChars="200" w:firstLine="480"/>
              <w:jc w:val="both"/>
              <w:rPr>
                <w:rFonts w:ascii="標楷體" w:eastAsia="標楷體" w:hAnsi="標楷體" w:cs="標楷體"/>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第八</w:t>
            </w:r>
            <w:r w:rsidRPr="00D9617F">
              <w:rPr>
                <w:rFonts w:ascii="標楷體" w:eastAsia="標楷體" w:hAnsi="標楷體" w:cs="標楷體"/>
                <w:color w:val="000000" w:themeColor="text1"/>
              </w:rPr>
              <w:t>十一</w:t>
            </w:r>
            <w:r w:rsidRPr="00D9617F">
              <w:rPr>
                <w:rFonts w:ascii="標楷體" w:eastAsia="標楷體" w:hAnsi="標楷體" w:cs="標楷體" w:hint="eastAsia"/>
                <w:color w:val="000000" w:themeColor="text1"/>
              </w:rPr>
              <w:t>條</w:t>
            </w:r>
            <w:r w:rsidR="00186D9F">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服務機關對申訴事件，應於收受申訴書之次日起三十日內，就請求事項詳備理由函復，必要時得延長二十日，並通知申訴人。逾期未函復，申訴人得逕提再申訴。</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申訴復函應附記如不服函復者，得於三十日內向保訓會提起再申訴之意旨。</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再申訴決定應於收受再申訴書之次日起三個月內為之。必要時得延長一個月，並通知再申訴人。</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第八十二條</w:t>
            </w:r>
            <w:r w:rsidR="00186D9F">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各機關對於保訓會查詢之再申訴事件，應於二十日內將事實、理由及處理意見，並附有關資料，回復保訓會。</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各機關對於再申訴事件未於前項規定期間內回復者，保訓會得逕為決定。</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第八十三條</w:t>
            </w:r>
            <w:r w:rsidR="00186D9F">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再申訴決定書，應載明下列事項：</w:t>
            </w:r>
          </w:p>
          <w:p w:rsidR="001C1CD3" w:rsidRPr="00D9617F" w:rsidRDefault="001C1CD3" w:rsidP="001E60EA">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一、再申訴人之姓名、出生年月日、服務機關及職稱、住居所、國民身分證統一編號。</w:t>
            </w:r>
          </w:p>
          <w:p w:rsidR="001C1CD3" w:rsidRPr="00D9617F" w:rsidRDefault="001C1CD3" w:rsidP="001E60EA">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二、有再申訴代理人者，其姓名、出生年月日、住居所、國民身分證統一編號。</w:t>
            </w:r>
          </w:p>
          <w:p w:rsidR="001C1CD3" w:rsidRPr="00D9617F" w:rsidRDefault="001C1CD3" w:rsidP="001E60EA">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三、主文、事實及理由；其係不受理決定者，得不記載事實。</w:t>
            </w:r>
          </w:p>
          <w:p w:rsidR="001C1CD3" w:rsidRPr="00D9617F" w:rsidRDefault="001C1CD3" w:rsidP="001E60EA">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四、決定機關及其首長。</w:t>
            </w:r>
          </w:p>
          <w:p w:rsidR="001C1CD3" w:rsidRPr="00D9617F" w:rsidRDefault="001C1CD3" w:rsidP="00B26991">
            <w:pPr>
              <w:kinsoku w:val="0"/>
              <w:overflowPunct w:val="0"/>
              <w:autoSpaceDE w:val="0"/>
              <w:autoSpaceDN w:val="0"/>
              <w:spacing w:line="460" w:lineRule="exact"/>
              <w:ind w:leftChars="94" w:left="663" w:hangingChars="182" w:hanging="43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五、年、月、日。</w:t>
            </w:r>
          </w:p>
          <w:p w:rsidR="001C1CD3" w:rsidRPr="00D9617F" w:rsidRDefault="001C1CD3" w:rsidP="001E60EA">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六、附記對於保訓會所為再申訴之決定不得以同一事由復提再申訴。</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186D9F">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第八十四條</w:t>
            </w:r>
            <w:r w:rsidR="00186D9F">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申訴、再申訴除本章另有規定外，準用第三章第二十六條至第四十二條、第四十三條第三項、第四十四條第四項、第四十六條至第五十九條、第六十一條至第六十八條、第六十九條第一項、第七十條、第七十一條第二項、第七十三條至第七十六條之復審程序規定。</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b/>
                <w:bCs/>
                <w:color w:val="000000" w:themeColor="text1"/>
                <w:sz w:val="28"/>
              </w:rPr>
            </w:pPr>
            <w:r w:rsidRPr="00D9617F">
              <w:rPr>
                <w:rFonts w:ascii="標楷體" w:eastAsia="標楷體" w:hAnsi="標楷體" w:cs="Times New Roman" w:hint="eastAsia"/>
                <w:b/>
                <w:bCs/>
                <w:color w:val="000000" w:themeColor="text1"/>
                <w:sz w:val="28"/>
              </w:rPr>
              <w:t>第五章  調處程序</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b/>
                <w:bCs/>
                <w:color w:val="000000" w:themeColor="text1"/>
                <w:sz w:val="28"/>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b/>
                <w:bCs/>
                <w:color w:val="000000" w:themeColor="text1"/>
                <w:sz w:val="28"/>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第八十五條</w:t>
            </w:r>
            <w:r w:rsidR="00186D9F">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再申訴事件審理中，保訓會得依職權或依申請，指定副主任委員或委員一人至三人，進行調處。</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前項調處，於多數人共同提起之再申訴事件，其代表人非徵得全體再申訴人之書面同意，不得為之。</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第八</w:t>
            </w:r>
            <w:r w:rsidRPr="00D9617F">
              <w:rPr>
                <w:rFonts w:ascii="標楷體" w:eastAsia="標楷體" w:hAnsi="標楷體" w:cs="標楷體"/>
                <w:color w:val="000000" w:themeColor="text1"/>
              </w:rPr>
              <w:t>十六</w:t>
            </w:r>
            <w:r w:rsidRPr="00D9617F">
              <w:rPr>
                <w:rFonts w:ascii="標楷體" w:eastAsia="標楷體" w:hAnsi="標楷體" w:cs="標楷體" w:hint="eastAsia"/>
                <w:color w:val="000000" w:themeColor="text1"/>
              </w:rPr>
              <w:t>條</w:t>
            </w:r>
            <w:r w:rsidR="00186D9F">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保訓會進行調處時，應以書面通知再申訴人或其代表人、代理人及有關機關，於指定期日到達指定處所行之。</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前項之代理人，應提出特別委任之授權證明，始得參與調處。</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再申訴人及有關機關無正當理由，於調處期日不到場者，視為調處不成立。但保訓會認為有成立調處之可能者，得另定調處期日。</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調處之過程及結果應製作紀錄，由參與調處之人員簽名；其拒絕簽名者，應記明其事由。</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第八十</w:t>
            </w:r>
            <w:r w:rsidRPr="00D9617F">
              <w:rPr>
                <w:rFonts w:ascii="標楷體" w:eastAsia="標楷體" w:hAnsi="標楷體" w:cs="標楷體"/>
                <w:color w:val="000000" w:themeColor="text1"/>
              </w:rPr>
              <w:t>七</w:t>
            </w:r>
            <w:r w:rsidRPr="00D9617F">
              <w:rPr>
                <w:rFonts w:ascii="標楷體" w:eastAsia="標楷體" w:hAnsi="標楷體" w:cs="標楷體" w:hint="eastAsia"/>
                <w:color w:val="000000" w:themeColor="text1"/>
              </w:rPr>
              <w:t>條</w:t>
            </w:r>
            <w:r w:rsidR="00186D9F">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再申訴事件經調處成立者，保訓會應作成調處書，記載下列事項，並函知再申訴人及有關機關：</w:t>
            </w:r>
          </w:p>
          <w:p w:rsidR="001C1CD3" w:rsidRPr="00D9617F" w:rsidRDefault="001C1CD3" w:rsidP="001E60EA">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一、再申訴人姓名、出生年月日、服務機關及職稱、住居所、國民身分證統一編號。</w:t>
            </w:r>
          </w:p>
          <w:p w:rsidR="001C1CD3" w:rsidRPr="00D9617F" w:rsidRDefault="001C1CD3" w:rsidP="001E60EA">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二、有代理人者，其姓名、出生年月日、住居所、國民身分證統一編號。</w:t>
            </w:r>
          </w:p>
          <w:p w:rsidR="001C1CD3" w:rsidRPr="00D9617F" w:rsidRDefault="001C1CD3" w:rsidP="001E60EA">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三、參與調處之副主任委員、委員姓名。</w:t>
            </w:r>
          </w:p>
          <w:p w:rsidR="001C1CD3" w:rsidRPr="00D9617F" w:rsidRDefault="001C1CD3" w:rsidP="001E60EA">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四、調處事由。</w:t>
            </w:r>
          </w:p>
          <w:p w:rsidR="001C1CD3" w:rsidRPr="00D9617F" w:rsidRDefault="001C1CD3" w:rsidP="001E60EA">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五、調處成立之內容。</w:t>
            </w:r>
          </w:p>
          <w:p w:rsidR="001C1CD3" w:rsidRPr="00D9617F" w:rsidRDefault="001C1CD3" w:rsidP="001E60EA">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六、調處成立之場所。</w:t>
            </w:r>
          </w:p>
          <w:p w:rsidR="001C1CD3" w:rsidRPr="00D9617F" w:rsidRDefault="001C1CD3" w:rsidP="001E60EA">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七、調處成立之年月日。</w:t>
            </w:r>
          </w:p>
          <w:p w:rsidR="001C1CD3" w:rsidRPr="00D9617F" w:rsidRDefault="001C1CD3" w:rsidP="004D7CD3">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前項經調處成立之再申訴事件，保訓會應終結其審理程序。</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186D9F">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第八</w:t>
            </w:r>
            <w:r w:rsidRPr="00D9617F">
              <w:rPr>
                <w:rFonts w:ascii="標楷體" w:eastAsia="標楷體" w:hAnsi="標楷體" w:cs="標楷體"/>
                <w:color w:val="000000" w:themeColor="text1"/>
              </w:rPr>
              <w:t>十八</w:t>
            </w:r>
            <w:r w:rsidRPr="00D9617F">
              <w:rPr>
                <w:rFonts w:ascii="標楷體" w:eastAsia="標楷體" w:hAnsi="標楷體" w:cs="標楷體" w:hint="eastAsia"/>
                <w:color w:val="000000" w:themeColor="text1"/>
              </w:rPr>
              <w:t>條</w:t>
            </w:r>
            <w:r w:rsidR="00186D9F">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再申訴事件經調處不成立者，保訓會應逕依本法所定之再申訴程序為審議決定。</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b/>
                <w:bCs/>
                <w:color w:val="000000" w:themeColor="text1"/>
                <w:sz w:val="28"/>
              </w:rPr>
            </w:pPr>
            <w:r w:rsidRPr="00D9617F">
              <w:rPr>
                <w:rFonts w:ascii="標楷體" w:eastAsia="標楷體" w:hAnsi="標楷體" w:cs="Times New Roman" w:hint="eastAsia"/>
                <w:b/>
                <w:bCs/>
                <w:color w:val="000000" w:themeColor="text1"/>
                <w:sz w:val="28"/>
              </w:rPr>
              <w:t>第六章  執行</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b/>
                <w:bCs/>
                <w:color w:val="000000" w:themeColor="text1"/>
                <w:sz w:val="28"/>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b/>
                <w:bCs/>
                <w:color w:val="000000" w:themeColor="text1"/>
                <w:sz w:val="28"/>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第八</w:t>
            </w:r>
            <w:r w:rsidRPr="00D9617F">
              <w:rPr>
                <w:rFonts w:ascii="標楷體" w:eastAsia="標楷體" w:hAnsi="標楷體" w:cs="標楷體"/>
                <w:color w:val="000000" w:themeColor="text1"/>
              </w:rPr>
              <w:t>十九</w:t>
            </w:r>
            <w:r w:rsidRPr="00D9617F">
              <w:rPr>
                <w:rFonts w:ascii="標楷體" w:eastAsia="標楷體" w:hAnsi="標楷體" w:cs="標楷體" w:hint="eastAsia"/>
                <w:color w:val="000000" w:themeColor="text1"/>
              </w:rPr>
              <w:t>條</w:t>
            </w:r>
            <w:r w:rsidR="00186D9F">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原行政處分、管理措施或有關工作條件之處置，不因依本法所進行之各項程序而停止執行。</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原行政處分、管理措施或有關工作條件之處置合法性顯有疑義者，或其執行將發生難以回復之損害，且有急迫情事，並非為維護重大公共利益所必要者，保訓會、原處分機關或服務機關得依職權或依申請，就原行政處分、管理措施或有關工作條件之處置全部或一部，停止執行。</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186D9F">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第九</w:t>
            </w:r>
            <w:r w:rsidRPr="00D9617F">
              <w:rPr>
                <w:rFonts w:ascii="標楷體" w:eastAsia="標楷體" w:hAnsi="標楷體" w:cs="標楷體"/>
                <w:color w:val="000000" w:themeColor="text1"/>
              </w:rPr>
              <w:t>十</w:t>
            </w:r>
            <w:r w:rsidRPr="00D9617F">
              <w:rPr>
                <w:rFonts w:ascii="標楷體" w:eastAsia="標楷體" w:hAnsi="標楷體" w:cs="標楷體" w:hint="eastAsia"/>
                <w:color w:val="000000" w:themeColor="text1"/>
              </w:rPr>
              <w:t>條</w:t>
            </w:r>
            <w:r w:rsidR="00186D9F">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停止執行之原因消滅，或有其他情事變更之情形，保訓會、原處分機關或服務機關得依職權或依申請撤銷停止執行。</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第九</w:t>
            </w:r>
            <w:r w:rsidRPr="00D9617F">
              <w:rPr>
                <w:rFonts w:ascii="標楷體" w:eastAsia="標楷體" w:hAnsi="標楷體" w:cs="標楷體"/>
                <w:color w:val="000000" w:themeColor="text1"/>
              </w:rPr>
              <w:t>十一</w:t>
            </w:r>
            <w:r w:rsidRPr="00D9617F">
              <w:rPr>
                <w:rFonts w:ascii="標楷體" w:eastAsia="標楷體" w:hAnsi="標楷體" w:cs="標楷體" w:hint="eastAsia"/>
                <w:color w:val="000000" w:themeColor="text1"/>
              </w:rPr>
              <w:t>條</w:t>
            </w:r>
            <w:r w:rsidR="00186D9F">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保訓會所為保障事件之決定確定後，有拘束各關係機關之效力；其經保訓會作成調處書者，亦同。</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原處分機關應於復審決定確定之次日起二個月內，將處理情形回復保訓會。必要時得予延長，但不得超過二個月，並通知復審人及保訓會。</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服務機關應於收受再申訴決定書之次日起二個月內，將處理情形回復保訓會。必要時得予延長，但不得超過二個月，並通知再申訴人及保訓會。</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再申訴事件經調處成立者，服務機關應於收受調處書之次日起二個月內，將處理情形回復保訓會。</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第九</w:t>
            </w:r>
            <w:r w:rsidRPr="00D9617F">
              <w:rPr>
                <w:rFonts w:ascii="標楷體" w:eastAsia="標楷體" w:hAnsi="標楷體" w:cs="標楷體"/>
                <w:color w:val="000000" w:themeColor="text1"/>
              </w:rPr>
              <w:t>十二</w:t>
            </w:r>
            <w:r w:rsidRPr="00D9617F">
              <w:rPr>
                <w:rFonts w:ascii="標楷體" w:eastAsia="標楷體" w:hAnsi="標楷體" w:cs="標楷體" w:hint="eastAsia"/>
                <w:color w:val="000000" w:themeColor="text1"/>
              </w:rPr>
              <w:t>條</w:t>
            </w:r>
            <w:r w:rsidR="00186D9F">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原處分機關、服務機關於前條規定期限內未處理者，保訓會應檢具證據將違失人員移送監察院依法處理。但違失人員為薦任第九職等以下人員，由保訓會通知原處分機關或服務機關之上級機關依法處理。前項違失人員如為民意機關首長，由保訓會處新臺幣十萬元以上一百萬元以下罰鍰，並公布違失事實。</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前項罰鍰，經通知限期繳納，逾期不繳納者，依法移送強制執行。</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186D9F">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第九</w:t>
            </w:r>
            <w:r w:rsidRPr="00D9617F">
              <w:rPr>
                <w:rFonts w:ascii="標楷體" w:eastAsia="標楷體" w:hAnsi="標楷體" w:cs="標楷體"/>
                <w:color w:val="000000" w:themeColor="text1"/>
              </w:rPr>
              <w:t>十三</w:t>
            </w:r>
            <w:r w:rsidRPr="00D9617F">
              <w:rPr>
                <w:rFonts w:ascii="標楷體" w:eastAsia="標楷體" w:hAnsi="標楷體" w:cs="標楷體" w:hint="eastAsia"/>
                <w:color w:val="000000" w:themeColor="text1"/>
              </w:rPr>
              <w:t>條</w:t>
            </w:r>
            <w:r w:rsidR="00186D9F">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保障事件決定書及其執行情形，應定期刊登公報。</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b/>
                <w:bCs/>
                <w:color w:val="000000" w:themeColor="text1"/>
                <w:sz w:val="28"/>
              </w:rPr>
            </w:pPr>
            <w:r w:rsidRPr="00D9617F">
              <w:rPr>
                <w:rFonts w:ascii="標楷體" w:eastAsia="標楷體" w:hAnsi="標楷體" w:cs="Times New Roman" w:hint="eastAsia"/>
                <w:b/>
                <w:bCs/>
                <w:color w:val="000000" w:themeColor="text1"/>
                <w:sz w:val="28"/>
              </w:rPr>
              <w:t>第七章  再審議</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b/>
                <w:bCs/>
                <w:color w:val="000000" w:themeColor="text1"/>
                <w:sz w:val="28"/>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b/>
                <w:bCs/>
                <w:color w:val="000000" w:themeColor="text1"/>
                <w:sz w:val="28"/>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第九十四條</w:t>
            </w:r>
            <w:r w:rsidR="00186D9F">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復審事件經保訓會審議決定，除復審人已依法向司法機關請求救濟者外，於復審決定確定後，有下列情形之一者，原處分機關或復審人得向保訓會申請再審議：</w:t>
            </w:r>
          </w:p>
          <w:p w:rsidR="001C1CD3" w:rsidRPr="00D9617F" w:rsidRDefault="001C1CD3" w:rsidP="00A17BE6">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一、適用法規顯有錯誤者。</w:t>
            </w:r>
          </w:p>
          <w:p w:rsidR="001C1CD3" w:rsidRPr="00D9617F" w:rsidRDefault="001C1CD3" w:rsidP="00A17BE6">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二、決定理由與主文顯有矛盾者。</w:t>
            </w:r>
          </w:p>
          <w:p w:rsidR="001C1CD3" w:rsidRPr="00D9617F" w:rsidRDefault="001C1CD3" w:rsidP="00A17BE6">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三、決定機關之組織不合法者。</w:t>
            </w:r>
          </w:p>
          <w:p w:rsidR="001C1CD3" w:rsidRPr="00D9617F" w:rsidRDefault="001C1CD3" w:rsidP="00A17BE6">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四、依本法應迴避之委員參與決定者。</w:t>
            </w:r>
          </w:p>
          <w:p w:rsidR="001C1CD3" w:rsidRPr="00D9617F" w:rsidRDefault="001C1CD3" w:rsidP="00A17BE6">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五、參與決定之委員關於該復審事件違背職務，犯刑事上之罪者。</w:t>
            </w:r>
          </w:p>
          <w:p w:rsidR="001C1CD3" w:rsidRPr="00D9617F" w:rsidRDefault="001C1CD3" w:rsidP="00A17BE6">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六、復審之代理人或代表人，關於該復審有刑事上應罰之行為，影響於決定者。</w:t>
            </w:r>
          </w:p>
          <w:p w:rsidR="001C1CD3" w:rsidRPr="00D9617F" w:rsidRDefault="001C1CD3" w:rsidP="00A17BE6">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七、證人、鑑定人或通譯就為決定基礎之證言、鑑定或通譯為虛偽陳述者。</w:t>
            </w:r>
          </w:p>
          <w:p w:rsidR="001C1CD3" w:rsidRPr="00D9617F" w:rsidRDefault="001C1CD3" w:rsidP="00A17BE6">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八、為決定基礎之證物，係偽造或變造者。</w:t>
            </w:r>
          </w:p>
          <w:p w:rsidR="001C1CD3" w:rsidRPr="00D9617F" w:rsidRDefault="001C1CD3" w:rsidP="00A17BE6">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九、為決定基礎之民事、刑事或行政訴訟判決或行政處分，依其後之確定裁判或行政處分已變更者。</w:t>
            </w:r>
          </w:p>
          <w:p w:rsidR="001C1CD3" w:rsidRPr="00D9617F" w:rsidRDefault="00A17BE6" w:rsidP="00A17BE6">
            <w:pPr>
              <w:kinsoku w:val="0"/>
              <w:overflowPunct w:val="0"/>
              <w:autoSpaceDE w:val="0"/>
              <w:autoSpaceDN w:val="0"/>
              <w:spacing w:line="460" w:lineRule="exact"/>
              <w:ind w:left="735" w:hanging="497"/>
              <w:jc w:val="both"/>
              <w:rPr>
                <w:rFonts w:ascii="標楷體" w:eastAsia="標楷體" w:hAnsi="標楷體" w:cs="標楷體"/>
                <w:color w:val="000000" w:themeColor="text1"/>
              </w:rPr>
            </w:pPr>
            <w:r>
              <w:rPr>
                <w:rFonts w:ascii="標楷體" w:eastAsia="標楷體" w:hAnsi="標楷體" w:cs="Times New Roman" w:hint="eastAsia"/>
                <w:color w:val="000000" w:themeColor="text1"/>
              </w:rPr>
              <w:t>十</w:t>
            </w:r>
            <w:r w:rsidR="001C1CD3" w:rsidRPr="00D9617F">
              <w:rPr>
                <w:rFonts w:ascii="標楷體" w:eastAsia="標楷體" w:hAnsi="標楷體" w:cs="標楷體" w:hint="eastAsia"/>
                <w:color w:val="000000" w:themeColor="text1"/>
              </w:rPr>
              <w:t>、發見未經斟酌之證物或得使用該證物者。但以如經斟酌可受較有利益之決定者為限。</w:t>
            </w:r>
          </w:p>
          <w:p w:rsidR="001C1CD3" w:rsidRPr="00D9617F" w:rsidRDefault="00A17BE6" w:rsidP="001E60EA">
            <w:pPr>
              <w:kinsoku w:val="0"/>
              <w:overflowPunct w:val="0"/>
              <w:autoSpaceDE w:val="0"/>
              <w:autoSpaceDN w:val="0"/>
              <w:spacing w:line="460" w:lineRule="exact"/>
              <w:ind w:left="987" w:hanging="749"/>
              <w:jc w:val="both"/>
              <w:rPr>
                <w:rFonts w:ascii="標楷體" w:eastAsia="標楷體" w:hAnsi="標楷體" w:cs="標楷體"/>
                <w:color w:val="000000" w:themeColor="text1"/>
              </w:rPr>
            </w:pPr>
            <w:r>
              <w:rPr>
                <w:rFonts w:ascii="標楷體" w:eastAsia="標楷體" w:hAnsi="標楷體" w:cs="標楷體" w:hint="eastAsia"/>
                <w:color w:val="000000" w:themeColor="text1"/>
              </w:rPr>
              <w:t>十</w:t>
            </w:r>
            <w:r w:rsidR="001C1CD3" w:rsidRPr="00D9617F">
              <w:rPr>
                <w:rFonts w:ascii="標楷體" w:eastAsia="標楷體" w:hAnsi="標楷體" w:cs="標楷體" w:hint="eastAsia"/>
                <w:color w:val="000000" w:themeColor="text1"/>
              </w:rPr>
              <w:t>一、原決定就足以影響於決定之重要證物漏未斟酌者。</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前項申請於原行政處分、原決定執行完畢後，亦得為之。</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第一項第五款至第八款情形，以宣告有罪之判決已確定，或其刑事訴訟不能開始或續行非因證據不足者為限。</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第九</w:t>
            </w:r>
            <w:r w:rsidRPr="00D9617F">
              <w:rPr>
                <w:rFonts w:ascii="標楷體" w:eastAsia="標楷體" w:hAnsi="標楷體" w:cs="標楷體"/>
                <w:color w:val="000000" w:themeColor="text1"/>
              </w:rPr>
              <w:t>十五</w:t>
            </w:r>
            <w:r w:rsidRPr="00D9617F">
              <w:rPr>
                <w:rFonts w:ascii="標楷體" w:eastAsia="標楷體" w:hAnsi="標楷體" w:cs="標楷體" w:hint="eastAsia"/>
                <w:color w:val="000000" w:themeColor="text1"/>
              </w:rPr>
              <w:t>條</w:t>
            </w:r>
            <w:r w:rsidR="00B1640B">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申請再審議應於三十日之不變期間內為之。前項期間自復審決定確定時起算。但再審議之理由知悉在後者，自知悉時起算。</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再審議之申請，自復審決定確定時起，如逾五年者，不得提起。</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1640B">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第九</w:t>
            </w:r>
            <w:r w:rsidRPr="00D9617F">
              <w:rPr>
                <w:rFonts w:ascii="標楷體" w:eastAsia="標楷體" w:hAnsi="標楷體" w:cs="標楷體"/>
                <w:color w:val="000000" w:themeColor="text1"/>
              </w:rPr>
              <w:t>十六</w:t>
            </w:r>
            <w:r w:rsidRPr="00D9617F">
              <w:rPr>
                <w:rFonts w:ascii="標楷體" w:eastAsia="標楷體" w:hAnsi="標楷體" w:cs="標楷體" w:hint="eastAsia"/>
                <w:color w:val="000000" w:themeColor="text1"/>
              </w:rPr>
              <w:t>條</w:t>
            </w:r>
            <w:r w:rsidR="00B1640B">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申請再審議應以書面敘述理由，附具繕本，連同原決定書影本及證據，向保訓會提起。</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1640B">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第九</w:t>
            </w:r>
            <w:r w:rsidRPr="00D9617F">
              <w:rPr>
                <w:rFonts w:ascii="標楷體" w:eastAsia="標楷體" w:hAnsi="標楷體" w:cs="標楷體"/>
                <w:color w:val="000000" w:themeColor="text1"/>
              </w:rPr>
              <w:t>十七</w:t>
            </w:r>
            <w:r w:rsidRPr="00D9617F">
              <w:rPr>
                <w:rFonts w:ascii="標楷體" w:eastAsia="標楷體" w:hAnsi="標楷體" w:cs="標楷體" w:hint="eastAsia"/>
                <w:color w:val="000000" w:themeColor="text1"/>
              </w:rPr>
              <w:t>條</w:t>
            </w:r>
            <w:r w:rsidR="00B1640B">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再審議之申請，於保訓會作成決定前得撤回之。為前項撤回者，不得更以同一原因申請再審議。</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1640B">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第九</w:t>
            </w:r>
            <w:r w:rsidRPr="00D9617F">
              <w:rPr>
                <w:rFonts w:ascii="標楷體" w:eastAsia="標楷體" w:hAnsi="標楷體" w:cs="標楷體"/>
                <w:color w:val="000000" w:themeColor="text1"/>
              </w:rPr>
              <w:t>十八</w:t>
            </w:r>
            <w:r w:rsidRPr="00D9617F">
              <w:rPr>
                <w:rFonts w:ascii="標楷體" w:eastAsia="標楷體" w:hAnsi="標楷體" w:cs="標楷體" w:hint="eastAsia"/>
                <w:color w:val="000000" w:themeColor="text1"/>
              </w:rPr>
              <w:t>條</w:t>
            </w:r>
            <w:r w:rsidR="00B1640B">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保訓會認為申請再審議程序不合法者，應為不受理決定。</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1640B">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第九</w:t>
            </w:r>
            <w:r w:rsidRPr="00D9617F">
              <w:rPr>
                <w:rFonts w:ascii="標楷體" w:eastAsia="標楷體" w:hAnsi="標楷體" w:cs="標楷體"/>
                <w:color w:val="000000" w:themeColor="text1"/>
              </w:rPr>
              <w:t>十九</w:t>
            </w:r>
            <w:r w:rsidRPr="00D9617F">
              <w:rPr>
                <w:rFonts w:ascii="標楷體" w:eastAsia="標楷體" w:hAnsi="標楷體" w:cs="標楷體" w:hint="eastAsia"/>
                <w:color w:val="000000" w:themeColor="text1"/>
              </w:rPr>
              <w:t>條</w:t>
            </w:r>
            <w:r w:rsidR="00B1640B">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保訓會認為再審議無理由者，應以決定駁回之。經前項決定後，不得更以同一原因申請再審議。</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1640B">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第一</w:t>
            </w:r>
            <w:r w:rsidRPr="00D9617F">
              <w:rPr>
                <w:rFonts w:ascii="標楷體" w:eastAsia="標楷體" w:hAnsi="標楷體" w:cs="標楷體"/>
                <w:color w:val="000000" w:themeColor="text1"/>
              </w:rPr>
              <w:t>百</w:t>
            </w:r>
            <w:r w:rsidRPr="00D9617F">
              <w:rPr>
                <w:rFonts w:ascii="標楷體" w:eastAsia="標楷體" w:hAnsi="標楷體" w:cs="標楷體" w:hint="eastAsia"/>
                <w:color w:val="000000" w:themeColor="text1"/>
              </w:rPr>
              <w:t>條</w:t>
            </w:r>
            <w:r w:rsidR="00B1640B">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保訓會認為再審議有理由者，應撤銷或變更原復審決定。</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1640B">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第一</w:t>
            </w:r>
            <w:r w:rsidRPr="00D9617F">
              <w:rPr>
                <w:rFonts w:ascii="標楷體" w:eastAsia="標楷體" w:hAnsi="標楷體" w:cs="標楷體"/>
                <w:color w:val="000000" w:themeColor="text1"/>
              </w:rPr>
              <w:t>百零一</w:t>
            </w:r>
            <w:r w:rsidRPr="00D9617F">
              <w:rPr>
                <w:rFonts w:ascii="標楷體" w:eastAsia="標楷體" w:hAnsi="標楷體" w:cs="標楷體" w:hint="eastAsia"/>
                <w:color w:val="000000" w:themeColor="text1"/>
              </w:rPr>
              <w:t>條</w:t>
            </w:r>
            <w:r w:rsidR="00B1640B">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再審議，除本章另有規定外，準用第三章復審程序及第六章執行之規定。</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b/>
                <w:bCs/>
                <w:color w:val="000000" w:themeColor="text1"/>
                <w:sz w:val="28"/>
              </w:rPr>
            </w:pPr>
            <w:r w:rsidRPr="00D9617F">
              <w:rPr>
                <w:rFonts w:ascii="標楷體" w:eastAsia="標楷體" w:hAnsi="標楷體" w:cs="Times New Roman" w:hint="eastAsia"/>
                <w:b/>
                <w:bCs/>
                <w:color w:val="000000" w:themeColor="text1"/>
                <w:sz w:val="28"/>
              </w:rPr>
              <w:t>第八章  附則</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b/>
                <w:bCs/>
                <w:color w:val="000000" w:themeColor="text1"/>
                <w:sz w:val="28"/>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b/>
                <w:bCs/>
                <w:color w:val="000000" w:themeColor="text1"/>
                <w:sz w:val="28"/>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第一</w:t>
            </w:r>
            <w:r w:rsidRPr="00D9617F">
              <w:rPr>
                <w:rFonts w:ascii="標楷體" w:eastAsia="標楷體" w:hAnsi="標楷體" w:cs="標楷體"/>
                <w:color w:val="000000" w:themeColor="text1"/>
              </w:rPr>
              <w:t>百零</w:t>
            </w:r>
            <w:r w:rsidRPr="00D9617F">
              <w:rPr>
                <w:rFonts w:ascii="標楷體" w:eastAsia="標楷體" w:hAnsi="標楷體" w:cs="標楷體" w:hint="eastAsia"/>
                <w:color w:val="000000" w:themeColor="text1"/>
              </w:rPr>
              <w:t>二條</w:t>
            </w:r>
            <w:r w:rsidR="00B1640B">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下列人員準用本法之規定：</w:t>
            </w:r>
          </w:p>
          <w:p w:rsidR="001C1CD3" w:rsidRPr="00D9617F" w:rsidRDefault="001C1CD3" w:rsidP="00A17BE6">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一、教育人員任用條例公布施行前已進用未經銓敘合格之公立學校職員。</w:t>
            </w:r>
          </w:p>
          <w:p w:rsidR="001C1CD3" w:rsidRPr="00D9617F" w:rsidRDefault="001C1CD3" w:rsidP="00A17BE6">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二、私立學校改制為公立學校未具任用資格之留用人員。</w:t>
            </w:r>
          </w:p>
          <w:p w:rsidR="001C1CD3" w:rsidRPr="00D9617F" w:rsidRDefault="001C1CD3" w:rsidP="00A17BE6">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三、公營事業依法任用之人員。</w:t>
            </w:r>
          </w:p>
          <w:p w:rsidR="001C1CD3" w:rsidRPr="00D9617F" w:rsidRDefault="001C1CD3" w:rsidP="00A17BE6">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四、各機關依法派用、聘用、聘任、僱用或留用人員。</w:t>
            </w:r>
          </w:p>
          <w:p w:rsidR="001C1CD3" w:rsidRPr="00D9617F" w:rsidRDefault="001C1CD3" w:rsidP="00A17BE6">
            <w:pPr>
              <w:kinsoku w:val="0"/>
              <w:overflowPunct w:val="0"/>
              <w:autoSpaceDE w:val="0"/>
              <w:autoSpaceDN w:val="0"/>
              <w:spacing w:line="460" w:lineRule="exact"/>
              <w:ind w:left="735" w:hanging="497"/>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五、應各種公務人員考試錄取占法定機關、公立學校編制職缺參加學習或訓練之人員。</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26991">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第一</w:t>
            </w:r>
            <w:r w:rsidRPr="00D9617F">
              <w:rPr>
                <w:rFonts w:ascii="標楷體" w:eastAsia="標楷體" w:hAnsi="標楷體" w:cs="標楷體"/>
                <w:color w:val="000000" w:themeColor="text1"/>
              </w:rPr>
              <w:t>百零</w:t>
            </w:r>
            <w:r w:rsidRPr="00D9617F">
              <w:rPr>
                <w:rFonts w:ascii="標楷體" w:eastAsia="標楷體" w:hAnsi="標楷體" w:cs="標楷體" w:hint="eastAsia"/>
                <w:color w:val="000000" w:themeColor="text1"/>
              </w:rPr>
              <w:t>三條</w:t>
            </w:r>
            <w:r w:rsidR="00B1640B">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本法修正施行前，尚未終結之復審事件，其以後之程序，依修正之本法規定終結之；尚未終結之再復審事件，其以後之再復審程序，準用修正之本法有關復審程序規定終結之。</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本法修正施行後，對於原依相關法律審理中之訴願事件，其以後之程序，應依修正之本法有關復審程序規定終結之。</w:t>
            </w:r>
          </w:p>
          <w:p w:rsidR="001C1CD3" w:rsidRPr="00D9617F" w:rsidRDefault="001C1CD3" w:rsidP="00A17BE6">
            <w:pPr>
              <w:kinsoku w:val="0"/>
              <w:overflowPunct w:val="0"/>
              <w:autoSpaceDE w:val="0"/>
              <w:autoSpaceDN w:val="0"/>
              <w:spacing w:line="460" w:lineRule="exact"/>
              <w:ind w:leftChars="107" w:left="257" w:firstLineChars="200" w:firstLine="48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本法修正施行後，依本法所定程序提起復審者，不得復依其他法律提起訴願或其他類此程序。</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r w:rsidR="001C1CD3" w:rsidRPr="00D9617F" w:rsidTr="005326B5">
        <w:trPr>
          <w:trHeight w:val="139"/>
        </w:trPr>
        <w:tc>
          <w:tcPr>
            <w:tcW w:w="4212" w:type="dxa"/>
          </w:tcPr>
          <w:p w:rsidR="001C1CD3" w:rsidRPr="00D9617F" w:rsidRDefault="001C1CD3" w:rsidP="00B1640B">
            <w:pPr>
              <w:kinsoku w:val="0"/>
              <w:overflowPunct w:val="0"/>
              <w:autoSpaceDE w:val="0"/>
              <w:autoSpaceDN w:val="0"/>
              <w:spacing w:line="460" w:lineRule="exact"/>
              <w:ind w:left="240" w:hangingChars="100" w:hanging="240"/>
              <w:jc w:val="both"/>
              <w:rPr>
                <w:rFonts w:ascii="標楷體" w:eastAsia="標楷體" w:hAnsi="標楷體" w:cs="標楷體"/>
                <w:color w:val="000000" w:themeColor="text1"/>
              </w:rPr>
            </w:pPr>
            <w:r w:rsidRPr="00D9617F">
              <w:rPr>
                <w:rFonts w:ascii="標楷體" w:eastAsia="標楷體" w:hAnsi="標楷體" w:cs="標楷體" w:hint="eastAsia"/>
                <w:color w:val="000000" w:themeColor="text1"/>
              </w:rPr>
              <w:t>第一</w:t>
            </w:r>
            <w:r w:rsidRPr="00D9617F">
              <w:rPr>
                <w:rFonts w:ascii="標楷體" w:eastAsia="標楷體" w:hAnsi="標楷體" w:cs="標楷體"/>
                <w:color w:val="000000" w:themeColor="text1"/>
              </w:rPr>
              <w:t>百零</w:t>
            </w:r>
            <w:r w:rsidRPr="00D9617F">
              <w:rPr>
                <w:rFonts w:ascii="標楷體" w:eastAsia="標楷體" w:hAnsi="標楷體" w:cs="標楷體" w:hint="eastAsia"/>
                <w:color w:val="000000" w:themeColor="text1"/>
              </w:rPr>
              <w:t>四條</w:t>
            </w:r>
            <w:r w:rsidR="00B1640B">
              <w:rPr>
                <w:rFonts w:ascii="標楷體" w:eastAsia="標楷體" w:hAnsi="標楷體" w:cs="標楷體" w:hint="eastAsia"/>
                <w:color w:val="000000" w:themeColor="text1"/>
              </w:rPr>
              <w:t xml:space="preserve">　</w:t>
            </w:r>
            <w:r w:rsidRPr="00D9617F">
              <w:rPr>
                <w:rFonts w:ascii="標楷體" w:eastAsia="標楷體" w:hAnsi="標楷體" w:cs="標楷體" w:hint="eastAsia"/>
                <w:color w:val="000000" w:themeColor="text1"/>
              </w:rPr>
              <w:t>本法自公布日施行。</w:t>
            </w:r>
          </w:p>
        </w:tc>
        <w:tc>
          <w:tcPr>
            <w:tcW w:w="2977"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c>
          <w:tcPr>
            <w:tcW w:w="2551" w:type="dxa"/>
          </w:tcPr>
          <w:p w:rsidR="001C1CD3" w:rsidRPr="00D9617F" w:rsidRDefault="001C1CD3" w:rsidP="00B26991">
            <w:pPr>
              <w:kinsoku w:val="0"/>
              <w:overflowPunct w:val="0"/>
              <w:autoSpaceDE w:val="0"/>
              <w:autoSpaceDN w:val="0"/>
              <w:spacing w:line="460" w:lineRule="exact"/>
              <w:jc w:val="both"/>
              <w:rPr>
                <w:rFonts w:ascii="標楷體" w:eastAsia="標楷體" w:hAnsi="標楷體" w:cs="Times New Roman"/>
                <w:color w:val="000000" w:themeColor="text1"/>
              </w:rPr>
            </w:pPr>
          </w:p>
        </w:tc>
      </w:tr>
    </w:tbl>
    <w:p w:rsidR="00EC379C" w:rsidRPr="00B67841" w:rsidRDefault="00EC379C" w:rsidP="00B26991">
      <w:pPr>
        <w:kinsoku w:val="0"/>
        <w:overflowPunct w:val="0"/>
        <w:autoSpaceDE w:val="0"/>
        <w:autoSpaceDN w:val="0"/>
        <w:spacing w:line="460" w:lineRule="exact"/>
        <w:jc w:val="center"/>
      </w:pPr>
    </w:p>
    <w:sectPr w:rsidR="00EC379C" w:rsidRPr="00B67841" w:rsidSect="005326B5">
      <w:footerReference w:type="default" r:id="rId8"/>
      <w:pgSz w:w="11907" w:h="16839" w:code="9"/>
      <w:pgMar w:top="1418" w:right="1134" w:bottom="1418" w:left="113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8E0" w:rsidRDefault="000808E0" w:rsidP="00B1268F">
      <w:pPr>
        <w:rPr>
          <w:rFonts w:cs="Times New Roman"/>
        </w:rPr>
      </w:pPr>
      <w:r>
        <w:rPr>
          <w:rFonts w:cs="Times New Roman"/>
        </w:rPr>
        <w:separator/>
      </w:r>
    </w:p>
  </w:endnote>
  <w:endnote w:type="continuationSeparator" w:id="0">
    <w:p w:rsidR="000808E0" w:rsidRDefault="000808E0" w:rsidP="00B1268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華康細明體">
    <w:altName w:val="新細明體"/>
    <w:panose1 w:val="02010609010101010101"/>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31F" w:rsidRDefault="00CC75C1">
    <w:pPr>
      <w:pStyle w:val="a5"/>
      <w:jc w:val="center"/>
      <w:rPr>
        <w:rFonts w:cs="Times New Roman"/>
      </w:rPr>
    </w:pPr>
    <w:r w:rsidRPr="00CC75C1">
      <w:fldChar w:fldCharType="begin"/>
    </w:r>
    <w:r w:rsidR="0037631F">
      <w:instrText xml:space="preserve"> PAGE   \* MERGEFORMAT </w:instrText>
    </w:r>
    <w:r w:rsidRPr="00CC75C1">
      <w:fldChar w:fldCharType="separate"/>
    </w:r>
    <w:r w:rsidR="00926C43" w:rsidRPr="00926C43">
      <w:rPr>
        <w:noProof/>
        <w:lang w:val="zh-TW"/>
      </w:rPr>
      <w:t>1</w:t>
    </w:r>
    <w:r>
      <w:rPr>
        <w:noProof/>
        <w:lang w:val="zh-TW"/>
      </w:rPr>
      <w:fldChar w:fldCharType="end"/>
    </w:r>
  </w:p>
  <w:p w:rsidR="0037631F" w:rsidRDefault="0037631F">
    <w:pPr>
      <w:pStyle w:val="a5"/>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8E0" w:rsidRDefault="000808E0" w:rsidP="00B1268F">
      <w:pPr>
        <w:rPr>
          <w:rFonts w:cs="Times New Roman"/>
        </w:rPr>
      </w:pPr>
      <w:r>
        <w:rPr>
          <w:rFonts w:cs="Times New Roman"/>
        </w:rPr>
        <w:separator/>
      </w:r>
    </w:p>
  </w:footnote>
  <w:footnote w:type="continuationSeparator" w:id="0">
    <w:p w:rsidR="000808E0" w:rsidRDefault="000808E0" w:rsidP="00B1268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2FEF"/>
    <w:multiLevelType w:val="hybridMultilevel"/>
    <w:tmpl w:val="A06249D2"/>
    <w:lvl w:ilvl="0" w:tplc="4EBCDA98">
      <w:start w:val="1"/>
      <w:numFmt w:val="taiwaneseCountingThousand"/>
      <w:lvlText w:val="%1、"/>
      <w:lvlJc w:val="left"/>
      <w:pPr>
        <w:ind w:left="510" w:hanging="510"/>
      </w:pPr>
      <w:rPr>
        <w:rFonts w:cs="Times New Roman" w:hint="default"/>
        <w:u w:val="none"/>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011836D4"/>
    <w:multiLevelType w:val="hybridMultilevel"/>
    <w:tmpl w:val="469E73B2"/>
    <w:lvl w:ilvl="0" w:tplc="FD1808E4">
      <w:start w:val="1"/>
      <w:numFmt w:val="taiwaneseCountingThousand"/>
      <w:lvlText w:val="%1、"/>
      <w:lvlJc w:val="left"/>
      <w:pPr>
        <w:tabs>
          <w:tab w:val="num" w:pos="690"/>
        </w:tabs>
        <w:ind w:left="690" w:hanging="510"/>
      </w:pPr>
      <w:rPr>
        <w:rFonts w:cs="Times New Roman" w:hint="eastAsia"/>
        <w:u w:val="single"/>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06B61C98"/>
    <w:multiLevelType w:val="hybridMultilevel"/>
    <w:tmpl w:val="FCB2CB7E"/>
    <w:lvl w:ilvl="0" w:tplc="8EC4970A">
      <w:start w:val="1"/>
      <w:numFmt w:val="taiwaneseCountingThousand"/>
      <w:lvlText w:val="%1、"/>
      <w:lvlJc w:val="left"/>
      <w:pPr>
        <w:ind w:left="510" w:hanging="51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074C0FCD"/>
    <w:multiLevelType w:val="hybridMultilevel"/>
    <w:tmpl w:val="013A64D0"/>
    <w:lvl w:ilvl="0" w:tplc="40A8BB5A">
      <w:start w:val="1"/>
      <w:numFmt w:val="taiwaneseCountingThousand"/>
      <w:lvlText w:val="%1、"/>
      <w:lvlJc w:val="left"/>
      <w:pPr>
        <w:ind w:left="510" w:hanging="51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07AF6A4F"/>
    <w:multiLevelType w:val="hybridMultilevel"/>
    <w:tmpl w:val="79F4273E"/>
    <w:lvl w:ilvl="0" w:tplc="F2C28470">
      <w:start w:val="1"/>
      <w:numFmt w:val="taiwaneseCountingThousand"/>
      <w:lvlText w:val="%1、"/>
      <w:lvlJc w:val="left"/>
      <w:pPr>
        <w:ind w:left="987" w:hanging="4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nsid w:val="15493D0C"/>
    <w:multiLevelType w:val="hybridMultilevel"/>
    <w:tmpl w:val="8FD21288"/>
    <w:lvl w:ilvl="0" w:tplc="3460BC34">
      <w:start w:val="1"/>
      <w:numFmt w:val="taiwaneseCountingThousand"/>
      <w:lvlText w:val="%1、"/>
      <w:lvlJc w:val="left"/>
      <w:pPr>
        <w:ind w:left="420" w:hanging="420"/>
      </w:pPr>
      <w:rPr>
        <w:rFonts w:ascii="標楷體" w:eastAsia="標楷體" w:hAnsi="標楷體"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
    <w:nsid w:val="20A21142"/>
    <w:multiLevelType w:val="hybridMultilevel"/>
    <w:tmpl w:val="6B18FF52"/>
    <w:lvl w:ilvl="0" w:tplc="8402AE0E">
      <w:start w:val="1"/>
      <w:numFmt w:val="taiwaneseCountingThousand"/>
      <w:lvlText w:val="%1、"/>
      <w:lvlJc w:val="left"/>
      <w:pPr>
        <w:ind w:left="600" w:hanging="360"/>
      </w:pPr>
      <w:rPr>
        <w:rFonts w:cs="Times New Roman"/>
        <w:color w:val="FF0000"/>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start w:val="1"/>
      <w:numFmt w:val="decimal"/>
      <w:lvlText w:val="%4."/>
      <w:lvlJc w:val="left"/>
      <w:pPr>
        <w:ind w:left="2160" w:hanging="480"/>
      </w:pPr>
      <w:rPr>
        <w:rFonts w:cs="Times New Roman"/>
      </w:rPr>
    </w:lvl>
    <w:lvl w:ilvl="4" w:tplc="04090019">
      <w:start w:val="1"/>
      <w:numFmt w:val="ideographTraditional"/>
      <w:lvlText w:val="%5、"/>
      <w:lvlJc w:val="left"/>
      <w:pPr>
        <w:ind w:left="2640" w:hanging="480"/>
      </w:pPr>
      <w:rPr>
        <w:rFonts w:cs="Times New Roman"/>
      </w:rPr>
    </w:lvl>
    <w:lvl w:ilvl="5" w:tplc="0409001B">
      <w:start w:val="1"/>
      <w:numFmt w:val="lowerRoman"/>
      <w:lvlText w:val="%6."/>
      <w:lvlJc w:val="right"/>
      <w:pPr>
        <w:ind w:left="3120" w:hanging="480"/>
      </w:pPr>
      <w:rPr>
        <w:rFonts w:cs="Times New Roman"/>
      </w:rPr>
    </w:lvl>
    <w:lvl w:ilvl="6" w:tplc="0409000F">
      <w:start w:val="1"/>
      <w:numFmt w:val="decimal"/>
      <w:lvlText w:val="%7."/>
      <w:lvlJc w:val="left"/>
      <w:pPr>
        <w:ind w:left="3600" w:hanging="480"/>
      </w:pPr>
      <w:rPr>
        <w:rFonts w:cs="Times New Roman"/>
      </w:rPr>
    </w:lvl>
    <w:lvl w:ilvl="7" w:tplc="04090019">
      <w:start w:val="1"/>
      <w:numFmt w:val="ideographTraditional"/>
      <w:lvlText w:val="%8、"/>
      <w:lvlJc w:val="left"/>
      <w:pPr>
        <w:ind w:left="4080" w:hanging="480"/>
      </w:pPr>
      <w:rPr>
        <w:rFonts w:cs="Times New Roman"/>
      </w:rPr>
    </w:lvl>
    <w:lvl w:ilvl="8" w:tplc="0409001B">
      <w:start w:val="1"/>
      <w:numFmt w:val="lowerRoman"/>
      <w:lvlText w:val="%9."/>
      <w:lvlJc w:val="right"/>
      <w:pPr>
        <w:ind w:left="4560" w:hanging="480"/>
      </w:pPr>
      <w:rPr>
        <w:rFonts w:cs="Times New Roman"/>
      </w:rPr>
    </w:lvl>
  </w:abstractNum>
  <w:abstractNum w:abstractNumId="7">
    <w:nsid w:val="2247361C"/>
    <w:multiLevelType w:val="hybridMultilevel"/>
    <w:tmpl w:val="02F273AC"/>
    <w:lvl w:ilvl="0" w:tplc="FBC6702A">
      <w:start w:val="1"/>
      <w:numFmt w:val="taiwaneseCountingThousand"/>
      <w:lvlText w:val="%1、"/>
      <w:lvlJc w:val="left"/>
      <w:pPr>
        <w:ind w:left="420" w:hanging="4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22B70664"/>
    <w:multiLevelType w:val="hybridMultilevel"/>
    <w:tmpl w:val="013A64D0"/>
    <w:lvl w:ilvl="0" w:tplc="40A8BB5A">
      <w:start w:val="1"/>
      <w:numFmt w:val="taiwaneseCountingThousand"/>
      <w:lvlText w:val="%1、"/>
      <w:lvlJc w:val="left"/>
      <w:pPr>
        <w:ind w:left="510" w:hanging="51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nsid w:val="232F0B48"/>
    <w:multiLevelType w:val="hybridMultilevel"/>
    <w:tmpl w:val="C5D4FAFE"/>
    <w:lvl w:ilvl="0" w:tplc="2172987E">
      <w:start w:val="1"/>
      <w:numFmt w:val="taiwaneseCountingThousand"/>
      <w:lvlText w:val="%1、"/>
      <w:lvlJc w:val="left"/>
      <w:pPr>
        <w:ind w:left="510" w:hanging="51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nsid w:val="252D55E4"/>
    <w:multiLevelType w:val="hybridMultilevel"/>
    <w:tmpl w:val="F89E8CD8"/>
    <w:lvl w:ilvl="0" w:tplc="9FF04E44">
      <w:start w:val="1"/>
      <w:numFmt w:val="taiwaneseCountingThousand"/>
      <w:lvlText w:val="%1、"/>
      <w:lvlJc w:val="left"/>
      <w:pPr>
        <w:ind w:left="510" w:hanging="51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1">
    <w:nsid w:val="2BE76C8F"/>
    <w:multiLevelType w:val="hybridMultilevel"/>
    <w:tmpl w:val="C006186C"/>
    <w:lvl w:ilvl="0" w:tplc="7A440052">
      <w:start w:val="1"/>
      <w:numFmt w:val="taiwaneseCountingThousand"/>
      <w:lvlText w:val="%1、"/>
      <w:lvlJc w:val="left"/>
      <w:pPr>
        <w:ind w:left="510" w:hanging="51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nsid w:val="2DC221B1"/>
    <w:multiLevelType w:val="hybridMultilevel"/>
    <w:tmpl w:val="C5D4FAFE"/>
    <w:lvl w:ilvl="0" w:tplc="2172987E">
      <w:start w:val="1"/>
      <w:numFmt w:val="taiwaneseCountingThousand"/>
      <w:lvlText w:val="%1、"/>
      <w:lvlJc w:val="left"/>
      <w:pPr>
        <w:ind w:left="510" w:hanging="51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
    <w:nsid w:val="354E28E7"/>
    <w:multiLevelType w:val="hybridMultilevel"/>
    <w:tmpl w:val="D4960862"/>
    <w:lvl w:ilvl="0" w:tplc="04090015">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4">
    <w:nsid w:val="38F12C26"/>
    <w:multiLevelType w:val="multilevel"/>
    <w:tmpl w:val="B06807E0"/>
    <w:lvl w:ilvl="0">
      <w:start w:val="1"/>
      <w:numFmt w:val="taiwaneseCountingThousand"/>
      <w:lvlText w:val="%1、"/>
      <w:lvlJc w:val="left"/>
      <w:pPr>
        <w:ind w:left="450" w:hanging="450"/>
      </w:pPr>
      <w:rPr>
        <w:rFonts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
    <w:nsid w:val="3BC10942"/>
    <w:multiLevelType w:val="hybridMultilevel"/>
    <w:tmpl w:val="C002C464"/>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6">
    <w:nsid w:val="3D5C2271"/>
    <w:multiLevelType w:val="hybridMultilevel"/>
    <w:tmpl w:val="2DD825A0"/>
    <w:lvl w:ilvl="0" w:tplc="EC90F1F0">
      <w:start w:val="1"/>
      <w:numFmt w:val="taiwaneseCountingThousand"/>
      <w:lvlText w:val="%1、"/>
      <w:lvlJc w:val="left"/>
      <w:pPr>
        <w:ind w:left="510" w:hanging="51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7">
    <w:nsid w:val="3E174312"/>
    <w:multiLevelType w:val="hybridMultilevel"/>
    <w:tmpl w:val="B1128F78"/>
    <w:lvl w:ilvl="0" w:tplc="843C7E88">
      <w:start w:val="1"/>
      <w:numFmt w:val="taiwaneseCountingThousand"/>
      <w:lvlText w:val="%1、"/>
      <w:lvlJc w:val="left"/>
      <w:pPr>
        <w:ind w:left="510" w:hanging="51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
    <w:nsid w:val="3FFD0ABD"/>
    <w:multiLevelType w:val="hybridMultilevel"/>
    <w:tmpl w:val="C006186C"/>
    <w:lvl w:ilvl="0" w:tplc="7A440052">
      <w:start w:val="1"/>
      <w:numFmt w:val="taiwaneseCountingThousand"/>
      <w:lvlText w:val="%1、"/>
      <w:lvlJc w:val="left"/>
      <w:pPr>
        <w:ind w:left="510" w:hanging="51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
    <w:nsid w:val="43462907"/>
    <w:multiLevelType w:val="hybridMultilevel"/>
    <w:tmpl w:val="1944AC76"/>
    <w:lvl w:ilvl="0" w:tplc="36585CA8">
      <w:start w:val="1"/>
      <w:numFmt w:val="taiwaneseCountingThousand"/>
      <w:suff w:val="space"/>
      <w:lvlText w:val="%1、"/>
      <w:lvlJc w:val="left"/>
      <w:pPr>
        <w:ind w:left="567" w:hanging="567"/>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nsid w:val="44F94094"/>
    <w:multiLevelType w:val="hybridMultilevel"/>
    <w:tmpl w:val="A94EC486"/>
    <w:lvl w:ilvl="0" w:tplc="4BB48F7A">
      <w:start w:val="1"/>
      <w:numFmt w:val="taiwaneseCountingThousand"/>
      <w:suff w:val="space"/>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1">
    <w:nsid w:val="47A42E6D"/>
    <w:multiLevelType w:val="hybridMultilevel"/>
    <w:tmpl w:val="A03EEA2C"/>
    <w:lvl w:ilvl="0" w:tplc="9142FA94">
      <w:start w:val="1"/>
      <w:numFmt w:val="decimal"/>
      <w:lvlText w:val="（%1）"/>
      <w:lvlJc w:val="left"/>
      <w:pPr>
        <w:ind w:left="1387" w:hanging="720"/>
      </w:pPr>
      <w:rPr>
        <w:rFonts w:cs="Times New Roman" w:hint="default"/>
      </w:rPr>
    </w:lvl>
    <w:lvl w:ilvl="1" w:tplc="04090019" w:tentative="1">
      <w:start w:val="1"/>
      <w:numFmt w:val="ideographTraditional"/>
      <w:lvlText w:val="%2、"/>
      <w:lvlJc w:val="left"/>
      <w:pPr>
        <w:ind w:left="1627" w:hanging="480"/>
      </w:pPr>
      <w:rPr>
        <w:rFonts w:cs="Times New Roman"/>
      </w:rPr>
    </w:lvl>
    <w:lvl w:ilvl="2" w:tplc="0409001B" w:tentative="1">
      <w:start w:val="1"/>
      <w:numFmt w:val="lowerRoman"/>
      <w:lvlText w:val="%3."/>
      <w:lvlJc w:val="right"/>
      <w:pPr>
        <w:ind w:left="2107" w:hanging="480"/>
      </w:pPr>
      <w:rPr>
        <w:rFonts w:cs="Times New Roman"/>
      </w:rPr>
    </w:lvl>
    <w:lvl w:ilvl="3" w:tplc="0409000F" w:tentative="1">
      <w:start w:val="1"/>
      <w:numFmt w:val="decimal"/>
      <w:lvlText w:val="%4."/>
      <w:lvlJc w:val="left"/>
      <w:pPr>
        <w:ind w:left="2587" w:hanging="480"/>
      </w:pPr>
      <w:rPr>
        <w:rFonts w:cs="Times New Roman"/>
      </w:rPr>
    </w:lvl>
    <w:lvl w:ilvl="4" w:tplc="04090019" w:tentative="1">
      <w:start w:val="1"/>
      <w:numFmt w:val="ideographTraditional"/>
      <w:lvlText w:val="%5、"/>
      <w:lvlJc w:val="left"/>
      <w:pPr>
        <w:ind w:left="3067" w:hanging="480"/>
      </w:pPr>
      <w:rPr>
        <w:rFonts w:cs="Times New Roman"/>
      </w:rPr>
    </w:lvl>
    <w:lvl w:ilvl="5" w:tplc="0409001B" w:tentative="1">
      <w:start w:val="1"/>
      <w:numFmt w:val="lowerRoman"/>
      <w:lvlText w:val="%6."/>
      <w:lvlJc w:val="right"/>
      <w:pPr>
        <w:ind w:left="3547" w:hanging="480"/>
      </w:pPr>
      <w:rPr>
        <w:rFonts w:cs="Times New Roman"/>
      </w:rPr>
    </w:lvl>
    <w:lvl w:ilvl="6" w:tplc="0409000F" w:tentative="1">
      <w:start w:val="1"/>
      <w:numFmt w:val="decimal"/>
      <w:lvlText w:val="%7."/>
      <w:lvlJc w:val="left"/>
      <w:pPr>
        <w:ind w:left="4027" w:hanging="480"/>
      </w:pPr>
      <w:rPr>
        <w:rFonts w:cs="Times New Roman"/>
      </w:rPr>
    </w:lvl>
    <w:lvl w:ilvl="7" w:tplc="04090019" w:tentative="1">
      <w:start w:val="1"/>
      <w:numFmt w:val="ideographTraditional"/>
      <w:lvlText w:val="%8、"/>
      <w:lvlJc w:val="left"/>
      <w:pPr>
        <w:ind w:left="4507" w:hanging="480"/>
      </w:pPr>
      <w:rPr>
        <w:rFonts w:cs="Times New Roman"/>
      </w:rPr>
    </w:lvl>
    <w:lvl w:ilvl="8" w:tplc="0409001B" w:tentative="1">
      <w:start w:val="1"/>
      <w:numFmt w:val="lowerRoman"/>
      <w:lvlText w:val="%9."/>
      <w:lvlJc w:val="right"/>
      <w:pPr>
        <w:ind w:left="4987" w:hanging="480"/>
      </w:pPr>
      <w:rPr>
        <w:rFonts w:cs="Times New Roman"/>
      </w:rPr>
    </w:lvl>
  </w:abstractNum>
  <w:abstractNum w:abstractNumId="22">
    <w:nsid w:val="4C2854DA"/>
    <w:multiLevelType w:val="hybridMultilevel"/>
    <w:tmpl w:val="8A324BEA"/>
    <w:lvl w:ilvl="0" w:tplc="42F2B650">
      <w:start w:val="1"/>
      <w:numFmt w:val="taiwaneseCountingThousand"/>
      <w:lvlText w:val="%1、"/>
      <w:lvlJc w:val="left"/>
      <w:pPr>
        <w:ind w:left="510" w:hanging="51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3">
    <w:nsid w:val="514041FE"/>
    <w:multiLevelType w:val="hybridMultilevel"/>
    <w:tmpl w:val="365A879E"/>
    <w:lvl w:ilvl="0" w:tplc="04090015">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4">
    <w:nsid w:val="52A83F0F"/>
    <w:multiLevelType w:val="hybridMultilevel"/>
    <w:tmpl w:val="85D47ED0"/>
    <w:lvl w:ilvl="0" w:tplc="2BCEE038">
      <w:start w:val="1"/>
      <w:numFmt w:val="taiwaneseCountingThousand"/>
      <w:lvlText w:val="%1、"/>
      <w:lvlJc w:val="left"/>
      <w:pPr>
        <w:ind w:left="510" w:hanging="51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5">
    <w:nsid w:val="54DC459F"/>
    <w:multiLevelType w:val="hybridMultilevel"/>
    <w:tmpl w:val="AA76FC38"/>
    <w:lvl w:ilvl="0" w:tplc="04090015">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
    <w:nsid w:val="5661164A"/>
    <w:multiLevelType w:val="hybridMultilevel"/>
    <w:tmpl w:val="468CB720"/>
    <w:lvl w:ilvl="0" w:tplc="04090015">
      <w:start w:val="1"/>
      <w:numFmt w:val="taiwaneseCountingThousand"/>
      <w:lvlText w:val="%1、"/>
      <w:lvlJc w:val="left"/>
      <w:pPr>
        <w:ind w:left="480" w:hanging="480"/>
      </w:pPr>
      <w:rPr>
        <w:rFonts w:cs="Times New Roman" w:hint="default"/>
        <w:u w:val="none"/>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7">
    <w:nsid w:val="583778EC"/>
    <w:multiLevelType w:val="hybridMultilevel"/>
    <w:tmpl w:val="0FC44B1E"/>
    <w:lvl w:ilvl="0" w:tplc="04090015">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8">
    <w:nsid w:val="59AA1E2D"/>
    <w:multiLevelType w:val="hybridMultilevel"/>
    <w:tmpl w:val="5B0E9022"/>
    <w:lvl w:ilvl="0" w:tplc="04090015">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9">
    <w:nsid w:val="60D06019"/>
    <w:multiLevelType w:val="hybridMultilevel"/>
    <w:tmpl w:val="53AC6858"/>
    <w:lvl w:ilvl="0" w:tplc="FBC6702A">
      <w:start w:val="1"/>
      <w:numFmt w:val="taiwaneseCountingThousand"/>
      <w:lvlText w:val="%1、"/>
      <w:lvlJc w:val="left"/>
      <w:pPr>
        <w:ind w:left="420" w:hanging="4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0">
    <w:nsid w:val="639E730D"/>
    <w:multiLevelType w:val="hybridMultilevel"/>
    <w:tmpl w:val="1EB66E06"/>
    <w:lvl w:ilvl="0" w:tplc="A3F0B354">
      <w:start w:val="1"/>
      <w:numFmt w:val="taiwaneseCountingThousand"/>
      <w:lvlText w:val="%1、"/>
      <w:lvlJc w:val="left"/>
      <w:pPr>
        <w:ind w:left="510" w:hanging="51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1">
    <w:nsid w:val="63B9060C"/>
    <w:multiLevelType w:val="hybridMultilevel"/>
    <w:tmpl w:val="EE7461DC"/>
    <w:lvl w:ilvl="0" w:tplc="BA00157A">
      <w:start w:val="1"/>
      <w:numFmt w:val="taiwaneseCountingThousand"/>
      <w:lvlText w:val="%1、"/>
      <w:lvlJc w:val="left"/>
      <w:pPr>
        <w:ind w:left="600" w:hanging="360"/>
      </w:pPr>
      <w:rPr>
        <w:rFonts w:ascii="標楷體" w:eastAsia="標楷體" w:hAnsi="標楷體" w:cs="Times New Roman"/>
        <w:color w:val="FF0000"/>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start w:val="1"/>
      <w:numFmt w:val="decimal"/>
      <w:lvlText w:val="%4."/>
      <w:lvlJc w:val="left"/>
      <w:pPr>
        <w:ind w:left="2160" w:hanging="480"/>
      </w:pPr>
      <w:rPr>
        <w:rFonts w:cs="Times New Roman"/>
      </w:rPr>
    </w:lvl>
    <w:lvl w:ilvl="4" w:tplc="04090019">
      <w:start w:val="1"/>
      <w:numFmt w:val="ideographTraditional"/>
      <w:lvlText w:val="%5、"/>
      <w:lvlJc w:val="left"/>
      <w:pPr>
        <w:ind w:left="2640" w:hanging="480"/>
      </w:pPr>
      <w:rPr>
        <w:rFonts w:cs="Times New Roman"/>
      </w:rPr>
    </w:lvl>
    <w:lvl w:ilvl="5" w:tplc="0409001B">
      <w:start w:val="1"/>
      <w:numFmt w:val="lowerRoman"/>
      <w:lvlText w:val="%6."/>
      <w:lvlJc w:val="right"/>
      <w:pPr>
        <w:ind w:left="3120" w:hanging="480"/>
      </w:pPr>
      <w:rPr>
        <w:rFonts w:cs="Times New Roman"/>
      </w:rPr>
    </w:lvl>
    <w:lvl w:ilvl="6" w:tplc="0409000F">
      <w:start w:val="1"/>
      <w:numFmt w:val="decimal"/>
      <w:lvlText w:val="%7."/>
      <w:lvlJc w:val="left"/>
      <w:pPr>
        <w:ind w:left="3600" w:hanging="480"/>
      </w:pPr>
      <w:rPr>
        <w:rFonts w:cs="Times New Roman"/>
      </w:rPr>
    </w:lvl>
    <w:lvl w:ilvl="7" w:tplc="04090019">
      <w:start w:val="1"/>
      <w:numFmt w:val="ideographTraditional"/>
      <w:lvlText w:val="%8、"/>
      <w:lvlJc w:val="left"/>
      <w:pPr>
        <w:ind w:left="4080" w:hanging="480"/>
      </w:pPr>
      <w:rPr>
        <w:rFonts w:cs="Times New Roman"/>
      </w:rPr>
    </w:lvl>
    <w:lvl w:ilvl="8" w:tplc="0409001B">
      <w:start w:val="1"/>
      <w:numFmt w:val="lowerRoman"/>
      <w:lvlText w:val="%9."/>
      <w:lvlJc w:val="right"/>
      <w:pPr>
        <w:ind w:left="4560" w:hanging="480"/>
      </w:pPr>
      <w:rPr>
        <w:rFonts w:cs="Times New Roman"/>
      </w:rPr>
    </w:lvl>
  </w:abstractNum>
  <w:abstractNum w:abstractNumId="32">
    <w:nsid w:val="670E5BAC"/>
    <w:multiLevelType w:val="hybridMultilevel"/>
    <w:tmpl w:val="259E67C2"/>
    <w:lvl w:ilvl="0" w:tplc="E3AE2A96">
      <w:start w:val="1"/>
      <w:numFmt w:val="taiwaneseCountingThousand"/>
      <w:lvlText w:val="（%1）"/>
      <w:lvlJc w:val="left"/>
      <w:pPr>
        <w:ind w:left="990" w:hanging="765"/>
      </w:pPr>
      <w:rPr>
        <w:rFonts w:cs="Times New Roman" w:hint="default"/>
      </w:rPr>
    </w:lvl>
    <w:lvl w:ilvl="1" w:tplc="04090019">
      <w:start w:val="1"/>
      <w:numFmt w:val="ideographTraditional"/>
      <w:lvlText w:val="%2、"/>
      <w:lvlJc w:val="left"/>
      <w:pPr>
        <w:ind w:left="1185" w:hanging="480"/>
      </w:pPr>
      <w:rPr>
        <w:rFonts w:cs="Times New Roman"/>
      </w:rPr>
    </w:lvl>
    <w:lvl w:ilvl="2" w:tplc="0409001B">
      <w:start w:val="1"/>
      <w:numFmt w:val="lowerRoman"/>
      <w:lvlText w:val="%3."/>
      <w:lvlJc w:val="right"/>
      <w:pPr>
        <w:ind w:left="1665" w:hanging="480"/>
      </w:pPr>
      <w:rPr>
        <w:rFonts w:cs="Times New Roman"/>
      </w:rPr>
    </w:lvl>
    <w:lvl w:ilvl="3" w:tplc="0409000F">
      <w:start w:val="1"/>
      <w:numFmt w:val="decimal"/>
      <w:lvlText w:val="%4."/>
      <w:lvlJc w:val="left"/>
      <w:pPr>
        <w:ind w:left="2145" w:hanging="480"/>
      </w:pPr>
      <w:rPr>
        <w:rFonts w:cs="Times New Roman"/>
      </w:rPr>
    </w:lvl>
    <w:lvl w:ilvl="4" w:tplc="04090019">
      <w:start w:val="1"/>
      <w:numFmt w:val="ideographTraditional"/>
      <w:lvlText w:val="%5、"/>
      <w:lvlJc w:val="left"/>
      <w:pPr>
        <w:ind w:left="2625" w:hanging="480"/>
      </w:pPr>
      <w:rPr>
        <w:rFonts w:cs="Times New Roman"/>
      </w:rPr>
    </w:lvl>
    <w:lvl w:ilvl="5" w:tplc="0409001B">
      <w:start w:val="1"/>
      <w:numFmt w:val="lowerRoman"/>
      <w:lvlText w:val="%6."/>
      <w:lvlJc w:val="right"/>
      <w:pPr>
        <w:ind w:left="3105" w:hanging="480"/>
      </w:pPr>
      <w:rPr>
        <w:rFonts w:cs="Times New Roman"/>
      </w:rPr>
    </w:lvl>
    <w:lvl w:ilvl="6" w:tplc="0409000F">
      <w:start w:val="1"/>
      <w:numFmt w:val="decimal"/>
      <w:lvlText w:val="%7."/>
      <w:lvlJc w:val="left"/>
      <w:pPr>
        <w:ind w:left="3585" w:hanging="480"/>
      </w:pPr>
      <w:rPr>
        <w:rFonts w:cs="Times New Roman"/>
      </w:rPr>
    </w:lvl>
    <w:lvl w:ilvl="7" w:tplc="04090019">
      <w:start w:val="1"/>
      <w:numFmt w:val="ideographTraditional"/>
      <w:lvlText w:val="%8、"/>
      <w:lvlJc w:val="left"/>
      <w:pPr>
        <w:ind w:left="4065" w:hanging="480"/>
      </w:pPr>
      <w:rPr>
        <w:rFonts w:cs="Times New Roman"/>
      </w:rPr>
    </w:lvl>
    <w:lvl w:ilvl="8" w:tplc="0409001B">
      <w:start w:val="1"/>
      <w:numFmt w:val="lowerRoman"/>
      <w:lvlText w:val="%9."/>
      <w:lvlJc w:val="right"/>
      <w:pPr>
        <w:ind w:left="4545" w:hanging="480"/>
      </w:pPr>
      <w:rPr>
        <w:rFonts w:cs="Times New Roman"/>
      </w:rPr>
    </w:lvl>
  </w:abstractNum>
  <w:abstractNum w:abstractNumId="33">
    <w:nsid w:val="682E0500"/>
    <w:multiLevelType w:val="hybridMultilevel"/>
    <w:tmpl w:val="9BA8FA04"/>
    <w:lvl w:ilvl="0" w:tplc="04090015">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4">
    <w:nsid w:val="686778E5"/>
    <w:multiLevelType w:val="hybridMultilevel"/>
    <w:tmpl w:val="FB302CD8"/>
    <w:lvl w:ilvl="0" w:tplc="C73CE28E">
      <w:start w:val="1"/>
      <w:numFmt w:val="taiwaneseCountingThousand"/>
      <w:lvlText w:val="%1、"/>
      <w:lvlJc w:val="left"/>
      <w:pPr>
        <w:ind w:left="420" w:hanging="420"/>
      </w:pPr>
      <w:rPr>
        <w:rFonts w:cs="Times New Roman" w:hint="default"/>
        <w:b w:val="0"/>
        <w:bCs w:val="0"/>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5">
    <w:nsid w:val="68751D99"/>
    <w:multiLevelType w:val="multilevel"/>
    <w:tmpl w:val="53AC6858"/>
    <w:lvl w:ilvl="0">
      <w:start w:val="1"/>
      <w:numFmt w:val="taiwaneseCountingThousand"/>
      <w:lvlText w:val="%1、"/>
      <w:lvlJc w:val="left"/>
      <w:pPr>
        <w:ind w:left="420" w:hanging="420"/>
      </w:pPr>
      <w:rPr>
        <w:rFonts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
    <w:nsid w:val="6AAD37E0"/>
    <w:multiLevelType w:val="hybridMultilevel"/>
    <w:tmpl w:val="D25C8998"/>
    <w:lvl w:ilvl="0" w:tplc="B5283C2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F364877"/>
    <w:multiLevelType w:val="hybridMultilevel"/>
    <w:tmpl w:val="2BA48E50"/>
    <w:lvl w:ilvl="0" w:tplc="B3E4D0AE">
      <w:start w:val="1"/>
      <w:numFmt w:val="taiwaneseCountingThousand"/>
      <w:lvlText w:val="%1、"/>
      <w:lvlJc w:val="left"/>
      <w:pPr>
        <w:ind w:left="420" w:hanging="4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8">
    <w:nsid w:val="6FD91E98"/>
    <w:multiLevelType w:val="hybridMultilevel"/>
    <w:tmpl w:val="AE265C00"/>
    <w:lvl w:ilvl="0" w:tplc="E6BEA656">
      <w:start w:val="1"/>
      <w:numFmt w:val="taiwaneseCountingThousand"/>
      <w:lvlText w:val="%1、"/>
      <w:lvlJc w:val="left"/>
      <w:pPr>
        <w:ind w:left="450" w:hanging="45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9">
    <w:nsid w:val="73C80096"/>
    <w:multiLevelType w:val="hybridMultilevel"/>
    <w:tmpl w:val="A7DAEE86"/>
    <w:lvl w:ilvl="0" w:tplc="04090015">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0">
    <w:nsid w:val="782D39FB"/>
    <w:multiLevelType w:val="hybridMultilevel"/>
    <w:tmpl w:val="0B7AC3C4"/>
    <w:lvl w:ilvl="0" w:tplc="BC161278">
      <w:start w:val="1"/>
      <w:numFmt w:val="taiwaneseCountingThousand"/>
      <w:lvlText w:val="%1、"/>
      <w:lvlJc w:val="left"/>
      <w:pPr>
        <w:ind w:left="420" w:hanging="420"/>
      </w:pPr>
      <w:rPr>
        <w:rFonts w:cs="Times New Roman" w:hint="default"/>
        <w:b w:val="0"/>
        <w:bCs w:val="0"/>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1">
    <w:nsid w:val="7B2F7BF9"/>
    <w:multiLevelType w:val="hybridMultilevel"/>
    <w:tmpl w:val="5F444480"/>
    <w:lvl w:ilvl="0" w:tplc="32902076">
      <w:start w:val="1"/>
      <w:numFmt w:val="taiwaneseCountingThousand"/>
      <w:lvlText w:val="%1、"/>
      <w:lvlJc w:val="left"/>
      <w:pPr>
        <w:ind w:left="450" w:hanging="450"/>
      </w:pPr>
      <w:rPr>
        <w:rFonts w:cs="Times New Roman" w:hint="default"/>
        <w:b w:val="0"/>
        <w:bCs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2">
    <w:nsid w:val="7DEA40C2"/>
    <w:multiLevelType w:val="hybridMultilevel"/>
    <w:tmpl w:val="15D26E84"/>
    <w:lvl w:ilvl="0" w:tplc="D45C506E">
      <w:start w:val="1"/>
      <w:numFmt w:val="taiwaneseCountingThousand"/>
      <w:lvlText w:val="%1、"/>
      <w:lvlJc w:val="left"/>
      <w:pPr>
        <w:ind w:left="720" w:hanging="48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start w:val="1"/>
      <w:numFmt w:val="decimal"/>
      <w:lvlText w:val="%4."/>
      <w:lvlJc w:val="left"/>
      <w:pPr>
        <w:ind w:left="2160" w:hanging="480"/>
      </w:pPr>
      <w:rPr>
        <w:rFonts w:cs="Times New Roman"/>
      </w:rPr>
    </w:lvl>
    <w:lvl w:ilvl="4" w:tplc="04090019">
      <w:start w:val="1"/>
      <w:numFmt w:val="ideographTraditional"/>
      <w:lvlText w:val="%5、"/>
      <w:lvlJc w:val="left"/>
      <w:pPr>
        <w:ind w:left="2640" w:hanging="480"/>
      </w:pPr>
      <w:rPr>
        <w:rFonts w:cs="Times New Roman"/>
      </w:rPr>
    </w:lvl>
    <w:lvl w:ilvl="5" w:tplc="0409001B">
      <w:start w:val="1"/>
      <w:numFmt w:val="lowerRoman"/>
      <w:lvlText w:val="%6."/>
      <w:lvlJc w:val="right"/>
      <w:pPr>
        <w:ind w:left="3120" w:hanging="480"/>
      </w:pPr>
      <w:rPr>
        <w:rFonts w:cs="Times New Roman"/>
      </w:rPr>
    </w:lvl>
    <w:lvl w:ilvl="6" w:tplc="0409000F">
      <w:start w:val="1"/>
      <w:numFmt w:val="decimal"/>
      <w:lvlText w:val="%7."/>
      <w:lvlJc w:val="left"/>
      <w:pPr>
        <w:ind w:left="3600" w:hanging="480"/>
      </w:pPr>
      <w:rPr>
        <w:rFonts w:cs="Times New Roman"/>
      </w:rPr>
    </w:lvl>
    <w:lvl w:ilvl="7" w:tplc="04090019">
      <w:start w:val="1"/>
      <w:numFmt w:val="ideographTraditional"/>
      <w:lvlText w:val="%8、"/>
      <w:lvlJc w:val="left"/>
      <w:pPr>
        <w:ind w:left="4080" w:hanging="480"/>
      </w:pPr>
      <w:rPr>
        <w:rFonts w:cs="Times New Roman"/>
      </w:rPr>
    </w:lvl>
    <w:lvl w:ilvl="8" w:tplc="0409001B">
      <w:start w:val="1"/>
      <w:numFmt w:val="lowerRoman"/>
      <w:lvlText w:val="%9."/>
      <w:lvlJc w:val="right"/>
      <w:pPr>
        <w:ind w:left="4560" w:hanging="480"/>
      </w:pPr>
      <w:rPr>
        <w:rFonts w:cs="Times New Roman"/>
      </w:rPr>
    </w:lvl>
  </w:abstractNum>
  <w:abstractNum w:abstractNumId="43">
    <w:nsid w:val="7E49056F"/>
    <w:multiLevelType w:val="hybridMultilevel"/>
    <w:tmpl w:val="64940AEE"/>
    <w:lvl w:ilvl="0" w:tplc="FFD06F6C">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nsid w:val="7F5F24EF"/>
    <w:multiLevelType w:val="hybridMultilevel"/>
    <w:tmpl w:val="94D42A5A"/>
    <w:lvl w:ilvl="0" w:tplc="37AC4BB8">
      <w:start w:val="1"/>
      <w:numFmt w:val="taiwaneseCountingThousand"/>
      <w:lvlText w:val="%1、"/>
      <w:lvlJc w:val="left"/>
      <w:pPr>
        <w:tabs>
          <w:tab w:val="num" w:pos="690"/>
        </w:tabs>
        <w:ind w:left="690" w:hanging="510"/>
      </w:pPr>
      <w:rPr>
        <w:rFonts w:cs="Times New Roman" w:hint="eastAsia"/>
        <w:u w:val="none"/>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41"/>
  </w:num>
  <w:num w:numId="2">
    <w:abstractNumId w:val="4"/>
  </w:num>
  <w:num w:numId="3">
    <w:abstractNumId w:val="34"/>
  </w:num>
  <w:num w:numId="4">
    <w:abstractNumId w:val="42"/>
  </w:num>
  <w:num w:numId="5">
    <w:abstractNumId w:val="15"/>
  </w:num>
  <w:num w:numId="6">
    <w:abstractNumId w:val="37"/>
  </w:num>
  <w:num w:numId="7">
    <w:abstractNumId w:val="29"/>
  </w:num>
  <w:num w:numId="8">
    <w:abstractNumId w:val="19"/>
  </w:num>
  <w:num w:numId="9">
    <w:abstractNumId w:val="39"/>
  </w:num>
  <w:num w:numId="10">
    <w:abstractNumId w:val="5"/>
  </w:num>
  <w:num w:numId="11">
    <w:abstractNumId w:val="14"/>
  </w:num>
  <w:num w:numId="12">
    <w:abstractNumId w:val="38"/>
  </w:num>
  <w:num w:numId="13">
    <w:abstractNumId w:val="35"/>
  </w:num>
  <w:num w:numId="14">
    <w:abstractNumId w:val="7"/>
  </w:num>
  <w:num w:numId="15">
    <w:abstractNumId w:val="44"/>
  </w:num>
  <w:num w:numId="16">
    <w:abstractNumId w:val="1"/>
  </w:num>
  <w:num w:numId="17">
    <w:abstractNumId w:val="33"/>
  </w:num>
  <w:num w:numId="18">
    <w:abstractNumId w:val="30"/>
  </w:num>
  <w:num w:numId="19">
    <w:abstractNumId w:val="28"/>
  </w:num>
  <w:num w:numId="20">
    <w:abstractNumId w:val="20"/>
  </w:num>
  <w:num w:numId="21">
    <w:abstractNumId w:val="10"/>
  </w:num>
  <w:num w:numId="22">
    <w:abstractNumId w:val="22"/>
  </w:num>
  <w:num w:numId="23">
    <w:abstractNumId w:val="26"/>
  </w:num>
  <w:num w:numId="24">
    <w:abstractNumId w:val="23"/>
  </w:num>
  <w:num w:numId="25">
    <w:abstractNumId w:val="25"/>
  </w:num>
  <w:num w:numId="26">
    <w:abstractNumId w:val="6"/>
  </w:num>
  <w:num w:numId="27">
    <w:abstractNumId w:val="31"/>
  </w:num>
  <w:num w:numId="28">
    <w:abstractNumId w:val="27"/>
  </w:num>
  <w:num w:numId="29">
    <w:abstractNumId w:val="17"/>
  </w:num>
  <w:num w:numId="30">
    <w:abstractNumId w:val="18"/>
  </w:num>
  <w:num w:numId="31">
    <w:abstractNumId w:val="11"/>
  </w:num>
  <w:num w:numId="32">
    <w:abstractNumId w:val="40"/>
  </w:num>
  <w:num w:numId="33">
    <w:abstractNumId w:val="16"/>
  </w:num>
  <w:num w:numId="34">
    <w:abstractNumId w:val="2"/>
  </w:num>
  <w:num w:numId="35">
    <w:abstractNumId w:val="13"/>
  </w:num>
  <w:num w:numId="36">
    <w:abstractNumId w:val="24"/>
  </w:num>
  <w:num w:numId="37">
    <w:abstractNumId w:val="9"/>
  </w:num>
  <w:num w:numId="38">
    <w:abstractNumId w:val="8"/>
  </w:num>
  <w:num w:numId="39">
    <w:abstractNumId w:val="0"/>
  </w:num>
  <w:num w:numId="40">
    <w:abstractNumId w:val="32"/>
  </w:num>
  <w:num w:numId="41">
    <w:abstractNumId w:val="43"/>
  </w:num>
  <w:num w:numId="42">
    <w:abstractNumId w:val="21"/>
  </w:num>
  <w:num w:numId="43">
    <w:abstractNumId w:val="12"/>
  </w:num>
  <w:num w:numId="44">
    <w:abstractNumId w:val="3"/>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80"/>
  <w:doNotHyphenateCaps/>
  <w:drawingGridHorizontalSpacing w:val="120"/>
  <w:displayHorizontalDrawingGridEvery w:val="0"/>
  <w:displayVerticalDrawingGridEvery w:val="2"/>
  <w:characterSpacingControl w:val="doNotCompress"/>
  <w:noLineBreaksAfter w:lang="zh-TW" w:val="([{£¥‘“‵〈《「『【〔〝︵︷︹︻︽︿﹁﹃﹙﹛﹝（｛"/>
  <w:noLineBreaksBefore w:lang="zh-TW" w:val="!),.:;?]}¢·–—’”•‥…‧′╴、。〉》」』】〕〞︰︱︳︴︶︸︺︼︾﹀﹂﹄﹏﹐﹑﹒﹔﹕﹖﹗﹚﹜﹞！），．：；？］｜｝､"/>
  <w:doNotValidateAgainstSchema/>
  <w:doNotDemarcateInvalidXml/>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3F51"/>
    <w:rsid w:val="00002931"/>
    <w:rsid w:val="00003B05"/>
    <w:rsid w:val="0000478D"/>
    <w:rsid w:val="000066C3"/>
    <w:rsid w:val="0000678B"/>
    <w:rsid w:val="00006899"/>
    <w:rsid w:val="0001254A"/>
    <w:rsid w:val="00012C3C"/>
    <w:rsid w:val="0001372D"/>
    <w:rsid w:val="000138EF"/>
    <w:rsid w:val="00015219"/>
    <w:rsid w:val="000165AE"/>
    <w:rsid w:val="00020465"/>
    <w:rsid w:val="00021C7C"/>
    <w:rsid w:val="00025D1A"/>
    <w:rsid w:val="00030A10"/>
    <w:rsid w:val="00031187"/>
    <w:rsid w:val="00034050"/>
    <w:rsid w:val="0003666B"/>
    <w:rsid w:val="00054CF0"/>
    <w:rsid w:val="000613BB"/>
    <w:rsid w:val="00063C5C"/>
    <w:rsid w:val="00066A60"/>
    <w:rsid w:val="000671C2"/>
    <w:rsid w:val="00072F1A"/>
    <w:rsid w:val="000747CD"/>
    <w:rsid w:val="00075C57"/>
    <w:rsid w:val="00076E6D"/>
    <w:rsid w:val="00077270"/>
    <w:rsid w:val="000808E0"/>
    <w:rsid w:val="00081860"/>
    <w:rsid w:val="00082BFB"/>
    <w:rsid w:val="00087236"/>
    <w:rsid w:val="000876C8"/>
    <w:rsid w:val="00096AD5"/>
    <w:rsid w:val="000972CC"/>
    <w:rsid w:val="000A1472"/>
    <w:rsid w:val="000A2004"/>
    <w:rsid w:val="000A2842"/>
    <w:rsid w:val="000A4776"/>
    <w:rsid w:val="000A55E9"/>
    <w:rsid w:val="000A6441"/>
    <w:rsid w:val="000B1802"/>
    <w:rsid w:val="000B26FC"/>
    <w:rsid w:val="000B36EF"/>
    <w:rsid w:val="000B434C"/>
    <w:rsid w:val="000B7353"/>
    <w:rsid w:val="000B73D8"/>
    <w:rsid w:val="000C277E"/>
    <w:rsid w:val="000D3681"/>
    <w:rsid w:val="000D6111"/>
    <w:rsid w:val="000E3527"/>
    <w:rsid w:val="000E741F"/>
    <w:rsid w:val="000F25FA"/>
    <w:rsid w:val="000F6400"/>
    <w:rsid w:val="00101525"/>
    <w:rsid w:val="00103C31"/>
    <w:rsid w:val="001041C8"/>
    <w:rsid w:val="00104AC2"/>
    <w:rsid w:val="001066B6"/>
    <w:rsid w:val="00107BCB"/>
    <w:rsid w:val="00107CE2"/>
    <w:rsid w:val="00110E80"/>
    <w:rsid w:val="0011285F"/>
    <w:rsid w:val="00112FF8"/>
    <w:rsid w:val="00113578"/>
    <w:rsid w:val="001176B3"/>
    <w:rsid w:val="00117F47"/>
    <w:rsid w:val="00121072"/>
    <w:rsid w:val="00123B89"/>
    <w:rsid w:val="0012664B"/>
    <w:rsid w:val="00131695"/>
    <w:rsid w:val="001357C7"/>
    <w:rsid w:val="00135938"/>
    <w:rsid w:val="001370B2"/>
    <w:rsid w:val="00153AA3"/>
    <w:rsid w:val="001550A9"/>
    <w:rsid w:val="00155BDC"/>
    <w:rsid w:val="00155C17"/>
    <w:rsid w:val="00156717"/>
    <w:rsid w:val="00161AC0"/>
    <w:rsid w:val="001623A3"/>
    <w:rsid w:val="001649F8"/>
    <w:rsid w:val="00165F9B"/>
    <w:rsid w:val="00167510"/>
    <w:rsid w:val="00167656"/>
    <w:rsid w:val="00170544"/>
    <w:rsid w:val="00173FC9"/>
    <w:rsid w:val="0017424C"/>
    <w:rsid w:val="001751E5"/>
    <w:rsid w:val="00175E8F"/>
    <w:rsid w:val="00186D9F"/>
    <w:rsid w:val="001904AB"/>
    <w:rsid w:val="001915BC"/>
    <w:rsid w:val="001945B7"/>
    <w:rsid w:val="001946B2"/>
    <w:rsid w:val="001A067D"/>
    <w:rsid w:val="001A2961"/>
    <w:rsid w:val="001A458F"/>
    <w:rsid w:val="001A5834"/>
    <w:rsid w:val="001A60F8"/>
    <w:rsid w:val="001A61C6"/>
    <w:rsid w:val="001B399F"/>
    <w:rsid w:val="001B3C8B"/>
    <w:rsid w:val="001B3DCA"/>
    <w:rsid w:val="001C1CD3"/>
    <w:rsid w:val="001C35D9"/>
    <w:rsid w:val="001C4A59"/>
    <w:rsid w:val="001C4F58"/>
    <w:rsid w:val="001C7E97"/>
    <w:rsid w:val="001D03FB"/>
    <w:rsid w:val="001D31EE"/>
    <w:rsid w:val="001D59CC"/>
    <w:rsid w:val="001E136D"/>
    <w:rsid w:val="001E15D0"/>
    <w:rsid w:val="001E469E"/>
    <w:rsid w:val="001E60EA"/>
    <w:rsid w:val="001E795D"/>
    <w:rsid w:val="001F20C4"/>
    <w:rsid w:val="001F2611"/>
    <w:rsid w:val="001F2E14"/>
    <w:rsid w:val="001F3FC3"/>
    <w:rsid w:val="002038B5"/>
    <w:rsid w:val="00204B9A"/>
    <w:rsid w:val="00204D8A"/>
    <w:rsid w:val="00212E52"/>
    <w:rsid w:val="00217E77"/>
    <w:rsid w:val="00224161"/>
    <w:rsid w:val="002253EA"/>
    <w:rsid w:val="002374EA"/>
    <w:rsid w:val="0024078C"/>
    <w:rsid w:val="00241E90"/>
    <w:rsid w:val="0024775D"/>
    <w:rsid w:val="002542D0"/>
    <w:rsid w:val="00255259"/>
    <w:rsid w:val="00257781"/>
    <w:rsid w:val="00261177"/>
    <w:rsid w:val="002651F5"/>
    <w:rsid w:val="00266537"/>
    <w:rsid w:val="0027304D"/>
    <w:rsid w:val="002734B9"/>
    <w:rsid w:val="002771E6"/>
    <w:rsid w:val="00284080"/>
    <w:rsid w:val="00284A9B"/>
    <w:rsid w:val="002918B2"/>
    <w:rsid w:val="00294A23"/>
    <w:rsid w:val="00296365"/>
    <w:rsid w:val="002A0A86"/>
    <w:rsid w:val="002A473D"/>
    <w:rsid w:val="002A5B41"/>
    <w:rsid w:val="002B1673"/>
    <w:rsid w:val="002B190F"/>
    <w:rsid w:val="002B26A5"/>
    <w:rsid w:val="002B415E"/>
    <w:rsid w:val="002B6F99"/>
    <w:rsid w:val="002B7909"/>
    <w:rsid w:val="002C0B24"/>
    <w:rsid w:val="002C11AD"/>
    <w:rsid w:val="002C727E"/>
    <w:rsid w:val="002D396F"/>
    <w:rsid w:val="002D4867"/>
    <w:rsid w:val="002D61B2"/>
    <w:rsid w:val="002D64D0"/>
    <w:rsid w:val="002D6830"/>
    <w:rsid w:val="002E0A97"/>
    <w:rsid w:val="002E1859"/>
    <w:rsid w:val="002E48FD"/>
    <w:rsid w:val="002E516D"/>
    <w:rsid w:val="002F162D"/>
    <w:rsid w:val="002F25B2"/>
    <w:rsid w:val="002F3595"/>
    <w:rsid w:val="002F4CEF"/>
    <w:rsid w:val="00302D24"/>
    <w:rsid w:val="00303846"/>
    <w:rsid w:val="00305FAC"/>
    <w:rsid w:val="003142DB"/>
    <w:rsid w:val="003158C8"/>
    <w:rsid w:val="00320BDF"/>
    <w:rsid w:val="00322AC4"/>
    <w:rsid w:val="0032319C"/>
    <w:rsid w:val="00324F97"/>
    <w:rsid w:val="00327348"/>
    <w:rsid w:val="003326AD"/>
    <w:rsid w:val="0033292E"/>
    <w:rsid w:val="0033645F"/>
    <w:rsid w:val="0033738D"/>
    <w:rsid w:val="0034399A"/>
    <w:rsid w:val="00353F23"/>
    <w:rsid w:val="003560FA"/>
    <w:rsid w:val="00362653"/>
    <w:rsid w:val="00364C77"/>
    <w:rsid w:val="003654C0"/>
    <w:rsid w:val="0037053A"/>
    <w:rsid w:val="00371EC8"/>
    <w:rsid w:val="0037631F"/>
    <w:rsid w:val="003876AB"/>
    <w:rsid w:val="00393BF7"/>
    <w:rsid w:val="003A6231"/>
    <w:rsid w:val="003B0B0B"/>
    <w:rsid w:val="003B111D"/>
    <w:rsid w:val="003B1895"/>
    <w:rsid w:val="003B3C6C"/>
    <w:rsid w:val="003B3DE3"/>
    <w:rsid w:val="003B3FC1"/>
    <w:rsid w:val="003C07CB"/>
    <w:rsid w:val="003C16EE"/>
    <w:rsid w:val="003C40D6"/>
    <w:rsid w:val="003C60B1"/>
    <w:rsid w:val="003D0D51"/>
    <w:rsid w:val="003D1703"/>
    <w:rsid w:val="003D2DB7"/>
    <w:rsid w:val="003E012A"/>
    <w:rsid w:val="003E07F9"/>
    <w:rsid w:val="003E444B"/>
    <w:rsid w:val="003F7582"/>
    <w:rsid w:val="003F7610"/>
    <w:rsid w:val="0040150F"/>
    <w:rsid w:val="0040497A"/>
    <w:rsid w:val="00407450"/>
    <w:rsid w:val="00417316"/>
    <w:rsid w:val="004178F0"/>
    <w:rsid w:val="00422FDD"/>
    <w:rsid w:val="00424BF3"/>
    <w:rsid w:val="00425320"/>
    <w:rsid w:val="004306D8"/>
    <w:rsid w:val="00433169"/>
    <w:rsid w:val="004335D7"/>
    <w:rsid w:val="00441EF3"/>
    <w:rsid w:val="00443779"/>
    <w:rsid w:val="004444CA"/>
    <w:rsid w:val="004450FC"/>
    <w:rsid w:val="00445819"/>
    <w:rsid w:val="00453250"/>
    <w:rsid w:val="004647B5"/>
    <w:rsid w:val="00464C14"/>
    <w:rsid w:val="00466C58"/>
    <w:rsid w:val="00470095"/>
    <w:rsid w:val="00471B53"/>
    <w:rsid w:val="00471E34"/>
    <w:rsid w:val="004729E0"/>
    <w:rsid w:val="00472F8A"/>
    <w:rsid w:val="004811E2"/>
    <w:rsid w:val="00487D25"/>
    <w:rsid w:val="00495879"/>
    <w:rsid w:val="00495F81"/>
    <w:rsid w:val="004975C2"/>
    <w:rsid w:val="004A2D28"/>
    <w:rsid w:val="004A2D37"/>
    <w:rsid w:val="004A5019"/>
    <w:rsid w:val="004C319F"/>
    <w:rsid w:val="004D23B5"/>
    <w:rsid w:val="004D55D9"/>
    <w:rsid w:val="004D6D9A"/>
    <w:rsid w:val="004D7CD3"/>
    <w:rsid w:val="004E4055"/>
    <w:rsid w:val="004E636D"/>
    <w:rsid w:val="004F185C"/>
    <w:rsid w:val="004F1DC6"/>
    <w:rsid w:val="004F3A9B"/>
    <w:rsid w:val="004F5B60"/>
    <w:rsid w:val="00504995"/>
    <w:rsid w:val="0050523E"/>
    <w:rsid w:val="00506E1F"/>
    <w:rsid w:val="005136F4"/>
    <w:rsid w:val="00514D40"/>
    <w:rsid w:val="005173A2"/>
    <w:rsid w:val="00521363"/>
    <w:rsid w:val="005218AD"/>
    <w:rsid w:val="00522F51"/>
    <w:rsid w:val="00525940"/>
    <w:rsid w:val="0052716C"/>
    <w:rsid w:val="00527BEF"/>
    <w:rsid w:val="00530715"/>
    <w:rsid w:val="005326B5"/>
    <w:rsid w:val="00537475"/>
    <w:rsid w:val="00537792"/>
    <w:rsid w:val="00543006"/>
    <w:rsid w:val="005452D2"/>
    <w:rsid w:val="005468A5"/>
    <w:rsid w:val="00547081"/>
    <w:rsid w:val="00552255"/>
    <w:rsid w:val="00554B97"/>
    <w:rsid w:val="00561C2D"/>
    <w:rsid w:val="005668A2"/>
    <w:rsid w:val="00570AF1"/>
    <w:rsid w:val="00571349"/>
    <w:rsid w:val="005719F9"/>
    <w:rsid w:val="005736C8"/>
    <w:rsid w:val="00576BD7"/>
    <w:rsid w:val="00576CE5"/>
    <w:rsid w:val="0058121E"/>
    <w:rsid w:val="00585B88"/>
    <w:rsid w:val="00590DD9"/>
    <w:rsid w:val="0059158A"/>
    <w:rsid w:val="0059387E"/>
    <w:rsid w:val="00593953"/>
    <w:rsid w:val="0059566B"/>
    <w:rsid w:val="005A14CD"/>
    <w:rsid w:val="005A32EA"/>
    <w:rsid w:val="005A6048"/>
    <w:rsid w:val="005A64FD"/>
    <w:rsid w:val="005B4A1A"/>
    <w:rsid w:val="005B5988"/>
    <w:rsid w:val="005C1717"/>
    <w:rsid w:val="005C3F6D"/>
    <w:rsid w:val="005C4F54"/>
    <w:rsid w:val="005D4032"/>
    <w:rsid w:val="005D492E"/>
    <w:rsid w:val="005E0229"/>
    <w:rsid w:val="005E0E07"/>
    <w:rsid w:val="005E5E88"/>
    <w:rsid w:val="005F01E1"/>
    <w:rsid w:val="005F3B7D"/>
    <w:rsid w:val="00602FCB"/>
    <w:rsid w:val="006036FB"/>
    <w:rsid w:val="00605031"/>
    <w:rsid w:val="0060653B"/>
    <w:rsid w:val="00612856"/>
    <w:rsid w:val="00612AF6"/>
    <w:rsid w:val="0061367E"/>
    <w:rsid w:val="006160A1"/>
    <w:rsid w:val="006172B9"/>
    <w:rsid w:val="00617D91"/>
    <w:rsid w:val="00625DEE"/>
    <w:rsid w:val="00626F8A"/>
    <w:rsid w:val="006333B7"/>
    <w:rsid w:val="0063396E"/>
    <w:rsid w:val="00643B2F"/>
    <w:rsid w:val="00645466"/>
    <w:rsid w:val="006458AC"/>
    <w:rsid w:val="00645AF8"/>
    <w:rsid w:val="006538DD"/>
    <w:rsid w:val="00661387"/>
    <w:rsid w:val="00670279"/>
    <w:rsid w:val="00673634"/>
    <w:rsid w:val="0067535D"/>
    <w:rsid w:val="00675946"/>
    <w:rsid w:val="006759F0"/>
    <w:rsid w:val="00686C68"/>
    <w:rsid w:val="00690A0D"/>
    <w:rsid w:val="006918E1"/>
    <w:rsid w:val="00692F40"/>
    <w:rsid w:val="0069360D"/>
    <w:rsid w:val="00695364"/>
    <w:rsid w:val="00695E8A"/>
    <w:rsid w:val="006A00DD"/>
    <w:rsid w:val="006A12F3"/>
    <w:rsid w:val="006A1E4A"/>
    <w:rsid w:val="006A3C9E"/>
    <w:rsid w:val="006A6355"/>
    <w:rsid w:val="006A7A9B"/>
    <w:rsid w:val="006B0093"/>
    <w:rsid w:val="006B1DB8"/>
    <w:rsid w:val="006B333E"/>
    <w:rsid w:val="006C1FCB"/>
    <w:rsid w:val="006C745F"/>
    <w:rsid w:val="006D01D9"/>
    <w:rsid w:val="006D154F"/>
    <w:rsid w:val="006D1BD7"/>
    <w:rsid w:val="006D52C3"/>
    <w:rsid w:val="006D5692"/>
    <w:rsid w:val="006E6313"/>
    <w:rsid w:val="006F53C1"/>
    <w:rsid w:val="007130E9"/>
    <w:rsid w:val="0071340E"/>
    <w:rsid w:val="00714D0E"/>
    <w:rsid w:val="007175DE"/>
    <w:rsid w:val="00721186"/>
    <w:rsid w:val="007243A6"/>
    <w:rsid w:val="00726A8E"/>
    <w:rsid w:val="007303EE"/>
    <w:rsid w:val="00730D23"/>
    <w:rsid w:val="007370A1"/>
    <w:rsid w:val="007405EF"/>
    <w:rsid w:val="00745F53"/>
    <w:rsid w:val="00754D44"/>
    <w:rsid w:val="007638DB"/>
    <w:rsid w:val="0077192F"/>
    <w:rsid w:val="00771F3A"/>
    <w:rsid w:val="00772A5E"/>
    <w:rsid w:val="00774331"/>
    <w:rsid w:val="00780F66"/>
    <w:rsid w:val="00782E37"/>
    <w:rsid w:val="00784441"/>
    <w:rsid w:val="0079165A"/>
    <w:rsid w:val="007923AF"/>
    <w:rsid w:val="00792425"/>
    <w:rsid w:val="0079500C"/>
    <w:rsid w:val="007A0C8A"/>
    <w:rsid w:val="007A5A45"/>
    <w:rsid w:val="007A6227"/>
    <w:rsid w:val="007B3FCA"/>
    <w:rsid w:val="007B4C21"/>
    <w:rsid w:val="007B4F47"/>
    <w:rsid w:val="007B5416"/>
    <w:rsid w:val="007D406F"/>
    <w:rsid w:val="007D4666"/>
    <w:rsid w:val="007E247D"/>
    <w:rsid w:val="007E3319"/>
    <w:rsid w:val="007E776C"/>
    <w:rsid w:val="007F17E8"/>
    <w:rsid w:val="007F3393"/>
    <w:rsid w:val="007F4386"/>
    <w:rsid w:val="007F5423"/>
    <w:rsid w:val="007F5E5E"/>
    <w:rsid w:val="007F6243"/>
    <w:rsid w:val="007F6AA2"/>
    <w:rsid w:val="007F7C14"/>
    <w:rsid w:val="008030F0"/>
    <w:rsid w:val="00803448"/>
    <w:rsid w:val="00805044"/>
    <w:rsid w:val="008052F2"/>
    <w:rsid w:val="00805795"/>
    <w:rsid w:val="00805E9F"/>
    <w:rsid w:val="00811638"/>
    <w:rsid w:val="00820E63"/>
    <w:rsid w:val="00825B37"/>
    <w:rsid w:val="0082653E"/>
    <w:rsid w:val="008324F0"/>
    <w:rsid w:val="00832CDB"/>
    <w:rsid w:val="00845DE8"/>
    <w:rsid w:val="00854654"/>
    <w:rsid w:val="0086112E"/>
    <w:rsid w:val="00862A5D"/>
    <w:rsid w:val="00864CBE"/>
    <w:rsid w:val="00864E15"/>
    <w:rsid w:val="00864EC5"/>
    <w:rsid w:val="008714EF"/>
    <w:rsid w:val="00874C72"/>
    <w:rsid w:val="00883874"/>
    <w:rsid w:val="008856E3"/>
    <w:rsid w:val="00886BB5"/>
    <w:rsid w:val="008946D4"/>
    <w:rsid w:val="008A31BD"/>
    <w:rsid w:val="008B2032"/>
    <w:rsid w:val="008B7A97"/>
    <w:rsid w:val="008C5157"/>
    <w:rsid w:val="008C5826"/>
    <w:rsid w:val="008D385E"/>
    <w:rsid w:val="008D4DBA"/>
    <w:rsid w:val="008D59F6"/>
    <w:rsid w:val="008D6746"/>
    <w:rsid w:val="008D7177"/>
    <w:rsid w:val="008E58C0"/>
    <w:rsid w:val="008E63BB"/>
    <w:rsid w:val="008E6FAC"/>
    <w:rsid w:val="008E76EC"/>
    <w:rsid w:val="008E7AD6"/>
    <w:rsid w:val="008E7BC5"/>
    <w:rsid w:val="008F0152"/>
    <w:rsid w:val="008F0C94"/>
    <w:rsid w:val="008F63A9"/>
    <w:rsid w:val="009024A5"/>
    <w:rsid w:val="00904FA3"/>
    <w:rsid w:val="009051AB"/>
    <w:rsid w:val="0091087D"/>
    <w:rsid w:val="00922080"/>
    <w:rsid w:val="00926C43"/>
    <w:rsid w:val="00935816"/>
    <w:rsid w:val="00935D17"/>
    <w:rsid w:val="00942D8C"/>
    <w:rsid w:val="00942F2B"/>
    <w:rsid w:val="00944CD2"/>
    <w:rsid w:val="00950402"/>
    <w:rsid w:val="0095632F"/>
    <w:rsid w:val="00956A4B"/>
    <w:rsid w:val="00957205"/>
    <w:rsid w:val="0096174B"/>
    <w:rsid w:val="009668A1"/>
    <w:rsid w:val="00966C7D"/>
    <w:rsid w:val="00970398"/>
    <w:rsid w:val="00970BCF"/>
    <w:rsid w:val="00971FAD"/>
    <w:rsid w:val="00972860"/>
    <w:rsid w:val="00986A8F"/>
    <w:rsid w:val="00995663"/>
    <w:rsid w:val="00995C8E"/>
    <w:rsid w:val="009A3A81"/>
    <w:rsid w:val="009A3C9F"/>
    <w:rsid w:val="009A6EFF"/>
    <w:rsid w:val="009A73DE"/>
    <w:rsid w:val="009A7556"/>
    <w:rsid w:val="009B1349"/>
    <w:rsid w:val="009C79D1"/>
    <w:rsid w:val="009D08EA"/>
    <w:rsid w:val="009D35CA"/>
    <w:rsid w:val="009D784B"/>
    <w:rsid w:val="009D7AC5"/>
    <w:rsid w:val="009E1D17"/>
    <w:rsid w:val="009E43AB"/>
    <w:rsid w:val="009E4DD2"/>
    <w:rsid w:val="009F01DD"/>
    <w:rsid w:val="009F1A43"/>
    <w:rsid w:val="009F3DFD"/>
    <w:rsid w:val="009F4A1C"/>
    <w:rsid w:val="009F65DF"/>
    <w:rsid w:val="00A009D7"/>
    <w:rsid w:val="00A02BB0"/>
    <w:rsid w:val="00A06226"/>
    <w:rsid w:val="00A10DE8"/>
    <w:rsid w:val="00A11CEB"/>
    <w:rsid w:val="00A157E1"/>
    <w:rsid w:val="00A17BE6"/>
    <w:rsid w:val="00A32D41"/>
    <w:rsid w:val="00A37D1C"/>
    <w:rsid w:val="00A40E24"/>
    <w:rsid w:val="00A43776"/>
    <w:rsid w:val="00A46617"/>
    <w:rsid w:val="00A46EA0"/>
    <w:rsid w:val="00A472E0"/>
    <w:rsid w:val="00A60004"/>
    <w:rsid w:val="00A6352C"/>
    <w:rsid w:val="00A71234"/>
    <w:rsid w:val="00A71D71"/>
    <w:rsid w:val="00A73A0E"/>
    <w:rsid w:val="00A755EA"/>
    <w:rsid w:val="00A75649"/>
    <w:rsid w:val="00A77D73"/>
    <w:rsid w:val="00A81B74"/>
    <w:rsid w:val="00A83BF5"/>
    <w:rsid w:val="00A83D34"/>
    <w:rsid w:val="00A855C1"/>
    <w:rsid w:val="00A877D5"/>
    <w:rsid w:val="00A8793C"/>
    <w:rsid w:val="00A9325D"/>
    <w:rsid w:val="00A93313"/>
    <w:rsid w:val="00A950F3"/>
    <w:rsid w:val="00A95409"/>
    <w:rsid w:val="00A95A9A"/>
    <w:rsid w:val="00A9714D"/>
    <w:rsid w:val="00A97D3F"/>
    <w:rsid w:val="00A97F19"/>
    <w:rsid w:val="00AA03EC"/>
    <w:rsid w:val="00AA5400"/>
    <w:rsid w:val="00AA6BDC"/>
    <w:rsid w:val="00AB3BDE"/>
    <w:rsid w:val="00AB4876"/>
    <w:rsid w:val="00AC15D8"/>
    <w:rsid w:val="00AC2799"/>
    <w:rsid w:val="00AC3522"/>
    <w:rsid w:val="00AC59EF"/>
    <w:rsid w:val="00AC5D57"/>
    <w:rsid w:val="00AC7A90"/>
    <w:rsid w:val="00AD21D4"/>
    <w:rsid w:val="00AD38E8"/>
    <w:rsid w:val="00AD3CE9"/>
    <w:rsid w:val="00AD3DFE"/>
    <w:rsid w:val="00AD4A18"/>
    <w:rsid w:val="00AE06D0"/>
    <w:rsid w:val="00AE23A7"/>
    <w:rsid w:val="00AE245D"/>
    <w:rsid w:val="00AE3280"/>
    <w:rsid w:val="00AE335A"/>
    <w:rsid w:val="00AE35AF"/>
    <w:rsid w:val="00AE3A9A"/>
    <w:rsid w:val="00AE5D07"/>
    <w:rsid w:val="00AE78E3"/>
    <w:rsid w:val="00AF162D"/>
    <w:rsid w:val="00AF3240"/>
    <w:rsid w:val="00AF3C1A"/>
    <w:rsid w:val="00AF73D4"/>
    <w:rsid w:val="00B11FA0"/>
    <w:rsid w:val="00B1268F"/>
    <w:rsid w:val="00B134F8"/>
    <w:rsid w:val="00B1618F"/>
    <w:rsid w:val="00B1640B"/>
    <w:rsid w:val="00B16967"/>
    <w:rsid w:val="00B16A1E"/>
    <w:rsid w:val="00B17158"/>
    <w:rsid w:val="00B1749B"/>
    <w:rsid w:val="00B17F26"/>
    <w:rsid w:val="00B21B4B"/>
    <w:rsid w:val="00B26991"/>
    <w:rsid w:val="00B26AC5"/>
    <w:rsid w:val="00B31F65"/>
    <w:rsid w:val="00B3264E"/>
    <w:rsid w:val="00B33CCF"/>
    <w:rsid w:val="00B40DC1"/>
    <w:rsid w:val="00B4163F"/>
    <w:rsid w:val="00B42330"/>
    <w:rsid w:val="00B50F28"/>
    <w:rsid w:val="00B5180E"/>
    <w:rsid w:val="00B524E4"/>
    <w:rsid w:val="00B567A6"/>
    <w:rsid w:val="00B64080"/>
    <w:rsid w:val="00B67841"/>
    <w:rsid w:val="00B710FA"/>
    <w:rsid w:val="00B71AC0"/>
    <w:rsid w:val="00B72B9E"/>
    <w:rsid w:val="00B76AD7"/>
    <w:rsid w:val="00B81381"/>
    <w:rsid w:val="00B81673"/>
    <w:rsid w:val="00B822F4"/>
    <w:rsid w:val="00B84FDB"/>
    <w:rsid w:val="00B86E3A"/>
    <w:rsid w:val="00B928C9"/>
    <w:rsid w:val="00BB3AA9"/>
    <w:rsid w:val="00BC345F"/>
    <w:rsid w:val="00BC4A50"/>
    <w:rsid w:val="00BC5AC7"/>
    <w:rsid w:val="00BD02C6"/>
    <w:rsid w:val="00BD0467"/>
    <w:rsid w:val="00BD0C4B"/>
    <w:rsid w:val="00BD31E5"/>
    <w:rsid w:val="00BD32AF"/>
    <w:rsid w:val="00BD4191"/>
    <w:rsid w:val="00BD4CD1"/>
    <w:rsid w:val="00BD68D4"/>
    <w:rsid w:val="00BE0D7A"/>
    <w:rsid w:val="00BE3F04"/>
    <w:rsid w:val="00BF1101"/>
    <w:rsid w:val="00BF2373"/>
    <w:rsid w:val="00BF30DF"/>
    <w:rsid w:val="00C03EEC"/>
    <w:rsid w:val="00C055B6"/>
    <w:rsid w:val="00C05D5A"/>
    <w:rsid w:val="00C071C3"/>
    <w:rsid w:val="00C10988"/>
    <w:rsid w:val="00C11984"/>
    <w:rsid w:val="00C20ED0"/>
    <w:rsid w:val="00C21604"/>
    <w:rsid w:val="00C24DAB"/>
    <w:rsid w:val="00C266F9"/>
    <w:rsid w:val="00C30614"/>
    <w:rsid w:val="00C31396"/>
    <w:rsid w:val="00C3140A"/>
    <w:rsid w:val="00C31941"/>
    <w:rsid w:val="00C40F47"/>
    <w:rsid w:val="00C41C2B"/>
    <w:rsid w:val="00C422B5"/>
    <w:rsid w:val="00C45B47"/>
    <w:rsid w:val="00C4638C"/>
    <w:rsid w:val="00C5181F"/>
    <w:rsid w:val="00C534BF"/>
    <w:rsid w:val="00C5495B"/>
    <w:rsid w:val="00C54DBD"/>
    <w:rsid w:val="00C56EC1"/>
    <w:rsid w:val="00C63295"/>
    <w:rsid w:val="00C72A19"/>
    <w:rsid w:val="00C74E7D"/>
    <w:rsid w:val="00C750A1"/>
    <w:rsid w:val="00C7693F"/>
    <w:rsid w:val="00C80F2D"/>
    <w:rsid w:val="00C81406"/>
    <w:rsid w:val="00C81A0C"/>
    <w:rsid w:val="00C85E97"/>
    <w:rsid w:val="00C90E61"/>
    <w:rsid w:val="00C94B3E"/>
    <w:rsid w:val="00CA0483"/>
    <w:rsid w:val="00CA5347"/>
    <w:rsid w:val="00CA7CAC"/>
    <w:rsid w:val="00CB0836"/>
    <w:rsid w:val="00CB18BF"/>
    <w:rsid w:val="00CB21BB"/>
    <w:rsid w:val="00CB5244"/>
    <w:rsid w:val="00CB5265"/>
    <w:rsid w:val="00CC1920"/>
    <w:rsid w:val="00CC2E81"/>
    <w:rsid w:val="00CC39A6"/>
    <w:rsid w:val="00CC75C1"/>
    <w:rsid w:val="00CD2059"/>
    <w:rsid w:val="00CD6428"/>
    <w:rsid w:val="00CD7F7A"/>
    <w:rsid w:val="00CE0D2D"/>
    <w:rsid w:val="00CE44CE"/>
    <w:rsid w:val="00CE6CE3"/>
    <w:rsid w:val="00CE7DD1"/>
    <w:rsid w:val="00CF34C2"/>
    <w:rsid w:val="00CF62B2"/>
    <w:rsid w:val="00D02B36"/>
    <w:rsid w:val="00D03C43"/>
    <w:rsid w:val="00D04C8F"/>
    <w:rsid w:val="00D054FF"/>
    <w:rsid w:val="00D071CC"/>
    <w:rsid w:val="00D162D2"/>
    <w:rsid w:val="00D16382"/>
    <w:rsid w:val="00D17167"/>
    <w:rsid w:val="00D21550"/>
    <w:rsid w:val="00D229BC"/>
    <w:rsid w:val="00D31C4D"/>
    <w:rsid w:val="00D32434"/>
    <w:rsid w:val="00D4327A"/>
    <w:rsid w:val="00D43B5B"/>
    <w:rsid w:val="00D44212"/>
    <w:rsid w:val="00D51465"/>
    <w:rsid w:val="00D5498C"/>
    <w:rsid w:val="00D54F54"/>
    <w:rsid w:val="00D558B2"/>
    <w:rsid w:val="00D625A8"/>
    <w:rsid w:val="00D66409"/>
    <w:rsid w:val="00D71B87"/>
    <w:rsid w:val="00D720F1"/>
    <w:rsid w:val="00D74B60"/>
    <w:rsid w:val="00D74E74"/>
    <w:rsid w:val="00D7594A"/>
    <w:rsid w:val="00D81F8B"/>
    <w:rsid w:val="00D84D9E"/>
    <w:rsid w:val="00D87C53"/>
    <w:rsid w:val="00D92BDD"/>
    <w:rsid w:val="00D94279"/>
    <w:rsid w:val="00D9617F"/>
    <w:rsid w:val="00DA2783"/>
    <w:rsid w:val="00DA4D2F"/>
    <w:rsid w:val="00DA60C4"/>
    <w:rsid w:val="00DA7612"/>
    <w:rsid w:val="00DB14E3"/>
    <w:rsid w:val="00DB4392"/>
    <w:rsid w:val="00DB5089"/>
    <w:rsid w:val="00DB5DDA"/>
    <w:rsid w:val="00DB5E40"/>
    <w:rsid w:val="00DB7DFD"/>
    <w:rsid w:val="00DC06B9"/>
    <w:rsid w:val="00DC0C87"/>
    <w:rsid w:val="00DC17CE"/>
    <w:rsid w:val="00DC1FC7"/>
    <w:rsid w:val="00DC3017"/>
    <w:rsid w:val="00DC35E5"/>
    <w:rsid w:val="00DC7988"/>
    <w:rsid w:val="00DD1F26"/>
    <w:rsid w:val="00DD356E"/>
    <w:rsid w:val="00DE04FC"/>
    <w:rsid w:val="00DE0712"/>
    <w:rsid w:val="00DE087A"/>
    <w:rsid w:val="00DE1487"/>
    <w:rsid w:val="00DE4E93"/>
    <w:rsid w:val="00DE5D17"/>
    <w:rsid w:val="00DF60D8"/>
    <w:rsid w:val="00DF6F7B"/>
    <w:rsid w:val="00DF7AA8"/>
    <w:rsid w:val="00E02B75"/>
    <w:rsid w:val="00E048BF"/>
    <w:rsid w:val="00E06689"/>
    <w:rsid w:val="00E06868"/>
    <w:rsid w:val="00E078E0"/>
    <w:rsid w:val="00E10484"/>
    <w:rsid w:val="00E13D27"/>
    <w:rsid w:val="00E14E8A"/>
    <w:rsid w:val="00E2176F"/>
    <w:rsid w:val="00E2285B"/>
    <w:rsid w:val="00E31226"/>
    <w:rsid w:val="00E31336"/>
    <w:rsid w:val="00E32B67"/>
    <w:rsid w:val="00E406E3"/>
    <w:rsid w:val="00E43422"/>
    <w:rsid w:val="00E43FB9"/>
    <w:rsid w:val="00E442D9"/>
    <w:rsid w:val="00E45417"/>
    <w:rsid w:val="00E467D1"/>
    <w:rsid w:val="00E5043A"/>
    <w:rsid w:val="00E50E64"/>
    <w:rsid w:val="00E53073"/>
    <w:rsid w:val="00E54427"/>
    <w:rsid w:val="00E56404"/>
    <w:rsid w:val="00E6391E"/>
    <w:rsid w:val="00E66E55"/>
    <w:rsid w:val="00E67225"/>
    <w:rsid w:val="00E70EF4"/>
    <w:rsid w:val="00E72277"/>
    <w:rsid w:val="00E73F51"/>
    <w:rsid w:val="00E73F9E"/>
    <w:rsid w:val="00E766E6"/>
    <w:rsid w:val="00E771A9"/>
    <w:rsid w:val="00E812C0"/>
    <w:rsid w:val="00E816F9"/>
    <w:rsid w:val="00E81DE5"/>
    <w:rsid w:val="00E82D7E"/>
    <w:rsid w:val="00E8567A"/>
    <w:rsid w:val="00E86AED"/>
    <w:rsid w:val="00EA23E6"/>
    <w:rsid w:val="00EA5290"/>
    <w:rsid w:val="00EA726E"/>
    <w:rsid w:val="00EB2D0E"/>
    <w:rsid w:val="00EB4D7B"/>
    <w:rsid w:val="00EB5528"/>
    <w:rsid w:val="00EC3130"/>
    <w:rsid w:val="00EC379C"/>
    <w:rsid w:val="00EC4272"/>
    <w:rsid w:val="00EC7D06"/>
    <w:rsid w:val="00ED7F70"/>
    <w:rsid w:val="00EE1421"/>
    <w:rsid w:val="00EE1D22"/>
    <w:rsid w:val="00EE4047"/>
    <w:rsid w:val="00EF20BB"/>
    <w:rsid w:val="00EF26C3"/>
    <w:rsid w:val="00F00B5B"/>
    <w:rsid w:val="00F078CC"/>
    <w:rsid w:val="00F120D2"/>
    <w:rsid w:val="00F13BC9"/>
    <w:rsid w:val="00F16914"/>
    <w:rsid w:val="00F23ADE"/>
    <w:rsid w:val="00F2699A"/>
    <w:rsid w:val="00F27DD4"/>
    <w:rsid w:val="00F3151B"/>
    <w:rsid w:val="00F3588D"/>
    <w:rsid w:val="00F35B2F"/>
    <w:rsid w:val="00F37F14"/>
    <w:rsid w:val="00F4117F"/>
    <w:rsid w:val="00F4302D"/>
    <w:rsid w:val="00F4326E"/>
    <w:rsid w:val="00F43A20"/>
    <w:rsid w:val="00F44B15"/>
    <w:rsid w:val="00F5577F"/>
    <w:rsid w:val="00F71900"/>
    <w:rsid w:val="00F735A7"/>
    <w:rsid w:val="00F7715A"/>
    <w:rsid w:val="00F8448F"/>
    <w:rsid w:val="00F84549"/>
    <w:rsid w:val="00F9322D"/>
    <w:rsid w:val="00F96D4E"/>
    <w:rsid w:val="00FA2B60"/>
    <w:rsid w:val="00FA320E"/>
    <w:rsid w:val="00FA4CDF"/>
    <w:rsid w:val="00FB06EE"/>
    <w:rsid w:val="00FB608D"/>
    <w:rsid w:val="00FB617E"/>
    <w:rsid w:val="00FC3963"/>
    <w:rsid w:val="00FC6614"/>
    <w:rsid w:val="00FC7653"/>
    <w:rsid w:val="00FD09AB"/>
    <w:rsid w:val="00FD5172"/>
    <w:rsid w:val="00FD5343"/>
    <w:rsid w:val="00FD640B"/>
    <w:rsid w:val="00FD71E5"/>
    <w:rsid w:val="00FE373B"/>
    <w:rsid w:val="00FE7043"/>
    <w:rsid w:val="00FE7948"/>
    <w:rsid w:val="00FF240E"/>
    <w:rsid w:val="00FF72A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44B15"/>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268F"/>
    <w:pPr>
      <w:tabs>
        <w:tab w:val="center" w:pos="4153"/>
        <w:tab w:val="right" w:pos="8306"/>
      </w:tabs>
      <w:snapToGrid w:val="0"/>
    </w:pPr>
    <w:rPr>
      <w:sz w:val="20"/>
      <w:szCs w:val="20"/>
    </w:rPr>
  </w:style>
  <w:style w:type="character" w:customStyle="1" w:styleId="a4">
    <w:name w:val="頁首 字元"/>
    <w:basedOn w:val="a0"/>
    <w:link w:val="a3"/>
    <w:uiPriority w:val="99"/>
    <w:locked/>
    <w:rsid w:val="00B1268F"/>
    <w:rPr>
      <w:rFonts w:cs="Times New Roman"/>
      <w:sz w:val="20"/>
      <w:szCs w:val="20"/>
    </w:rPr>
  </w:style>
  <w:style w:type="paragraph" w:styleId="a5">
    <w:name w:val="footer"/>
    <w:basedOn w:val="a"/>
    <w:link w:val="a6"/>
    <w:uiPriority w:val="99"/>
    <w:rsid w:val="00B1268F"/>
    <w:pPr>
      <w:tabs>
        <w:tab w:val="center" w:pos="4153"/>
        <w:tab w:val="right" w:pos="8306"/>
      </w:tabs>
      <w:snapToGrid w:val="0"/>
    </w:pPr>
    <w:rPr>
      <w:sz w:val="20"/>
      <w:szCs w:val="20"/>
    </w:rPr>
  </w:style>
  <w:style w:type="character" w:customStyle="1" w:styleId="a6">
    <w:name w:val="頁尾 字元"/>
    <w:basedOn w:val="a0"/>
    <w:link w:val="a5"/>
    <w:uiPriority w:val="99"/>
    <w:locked/>
    <w:rsid w:val="00B1268F"/>
    <w:rPr>
      <w:rFonts w:cs="Times New Roman"/>
      <w:sz w:val="20"/>
      <w:szCs w:val="20"/>
    </w:rPr>
  </w:style>
  <w:style w:type="table" w:styleId="a7">
    <w:name w:val="Table Grid"/>
    <w:basedOn w:val="a1"/>
    <w:uiPriority w:val="99"/>
    <w:rsid w:val="00B1268F"/>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82653E"/>
    <w:rPr>
      <w:rFonts w:ascii="Cambria" w:hAnsi="Cambria" w:cs="Cambria"/>
      <w:sz w:val="18"/>
      <w:szCs w:val="18"/>
    </w:rPr>
  </w:style>
  <w:style w:type="character" w:customStyle="1" w:styleId="a9">
    <w:name w:val="註解方塊文字 字元"/>
    <w:basedOn w:val="a0"/>
    <w:link w:val="a8"/>
    <w:uiPriority w:val="99"/>
    <w:semiHidden/>
    <w:locked/>
    <w:rsid w:val="0082653E"/>
    <w:rPr>
      <w:rFonts w:ascii="Cambria" w:eastAsia="新細明體" w:hAnsi="Cambria" w:cs="Cambria"/>
      <w:sz w:val="18"/>
      <w:szCs w:val="18"/>
    </w:rPr>
  </w:style>
  <w:style w:type="paragraph" w:styleId="aa">
    <w:name w:val="List Paragraph"/>
    <w:basedOn w:val="a"/>
    <w:uiPriority w:val="99"/>
    <w:qFormat/>
    <w:rsid w:val="00A95409"/>
    <w:pPr>
      <w:ind w:leftChars="200" w:left="480"/>
    </w:pPr>
  </w:style>
  <w:style w:type="character" w:styleId="ab">
    <w:name w:val="annotation reference"/>
    <w:basedOn w:val="a0"/>
    <w:uiPriority w:val="99"/>
    <w:semiHidden/>
    <w:rsid w:val="002C11AD"/>
    <w:rPr>
      <w:rFonts w:cs="Times New Roman"/>
      <w:sz w:val="18"/>
      <w:szCs w:val="18"/>
    </w:rPr>
  </w:style>
  <w:style w:type="paragraph" w:styleId="ac">
    <w:name w:val="annotation text"/>
    <w:basedOn w:val="a"/>
    <w:link w:val="ad"/>
    <w:uiPriority w:val="99"/>
    <w:semiHidden/>
    <w:rsid w:val="002C11AD"/>
  </w:style>
  <w:style w:type="character" w:customStyle="1" w:styleId="ad">
    <w:name w:val="註解文字 字元"/>
    <w:basedOn w:val="a0"/>
    <w:link w:val="ac"/>
    <w:uiPriority w:val="99"/>
    <w:semiHidden/>
    <w:locked/>
    <w:rsid w:val="002C11AD"/>
    <w:rPr>
      <w:rFonts w:cs="Times New Roman"/>
    </w:rPr>
  </w:style>
  <w:style w:type="paragraph" w:styleId="ae">
    <w:name w:val="annotation subject"/>
    <w:basedOn w:val="ac"/>
    <w:next w:val="ac"/>
    <w:link w:val="af"/>
    <w:uiPriority w:val="99"/>
    <w:semiHidden/>
    <w:rsid w:val="002C11AD"/>
    <w:rPr>
      <w:b/>
      <w:bCs/>
    </w:rPr>
  </w:style>
  <w:style w:type="character" w:customStyle="1" w:styleId="af">
    <w:name w:val="註解主旨 字元"/>
    <w:basedOn w:val="ad"/>
    <w:link w:val="ae"/>
    <w:uiPriority w:val="99"/>
    <w:semiHidden/>
    <w:locked/>
    <w:rsid w:val="002C11AD"/>
    <w:rPr>
      <w:rFonts w:cs="Times New Roman"/>
      <w:b/>
      <w:bCs/>
    </w:rPr>
  </w:style>
  <w:style w:type="paragraph" w:styleId="HTML">
    <w:name w:val="HTML Preformatted"/>
    <w:basedOn w:val="a"/>
    <w:link w:val="HTML0"/>
    <w:uiPriority w:val="99"/>
    <w:rsid w:val="007175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7175DE"/>
    <w:rPr>
      <w:rFonts w:ascii="細明體" w:eastAsia="細明體" w:hAnsi="細明體" w:cs="細明體"/>
      <w:kern w:val="0"/>
      <w:sz w:val="24"/>
      <w:szCs w:val="24"/>
    </w:rPr>
  </w:style>
  <w:style w:type="paragraph" w:customStyle="1" w:styleId="af0">
    <w:name w:val="說明"/>
    <w:basedOn w:val="a"/>
    <w:uiPriority w:val="99"/>
    <w:rsid w:val="0059158A"/>
    <w:pPr>
      <w:tabs>
        <w:tab w:val="left" w:pos="8575"/>
      </w:tabs>
      <w:spacing w:line="400" w:lineRule="exact"/>
      <w:ind w:right="51"/>
      <w:jc w:val="both"/>
    </w:pPr>
    <w:rPr>
      <w:rFonts w:ascii="標楷體" w:eastAsia="標楷體" w:hAnsi="標楷體" w:cs="標楷體"/>
      <w:sz w:val="28"/>
      <w:szCs w:val="28"/>
    </w:rPr>
  </w:style>
  <w:style w:type="paragraph" w:styleId="2">
    <w:name w:val="Body Text Indent 2"/>
    <w:basedOn w:val="a"/>
    <w:link w:val="20"/>
    <w:uiPriority w:val="99"/>
    <w:rsid w:val="002038B5"/>
    <w:pPr>
      <w:ind w:left="1188" w:hanging="1186"/>
      <w:jc w:val="both"/>
    </w:pPr>
    <w:rPr>
      <w:rFonts w:ascii="標楷體" w:eastAsia="標楷體" w:hAnsi="Times New Roman" w:cs="標楷體"/>
      <w:color w:val="000000"/>
    </w:rPr>
  </w:style>
  <w:style w:type="character" w:customStyle="1" w:styleId="20">
    <w:name w:val="本文縮排 2 字元"/>
    <w:basedOn w:val="a0"/>
    <w:link w:val="2"/>
    <w:uiPriority w:val="99"/>
    <w:locked/>
    <w:rsid w:val="002038B5"/>
    <w:rPr>
      <w:rFonts w:ascii="標楷體" w:eastAsia="標楷體" w:hAnsi="Times New Roman" w:cs="標楷體"/>
      <w:color w:val="000000"/>
      <w:kern w:val="2"/>
      <w:sz w:val="24"/>
      <w:szCs w:val="24"/>
    </w:rPr>
  </w:style>
  <w:style w:type="character" w:customStyle="1" w:styleId="af1">
    <w:name w:val="本文縮排 字元"/>
    <w:basedOn w:val="a0"/>
    <w:link w:val="BodyTextIndent1"/>
    <w:uiPriority w:val="99"/>
    <w:locked/>
    <w:rsid w:val="00121072"/>
    <w:rPr>
      <w:rFonts w:ascii="標楷體" w:eastAsia="標楷體" w:cs="標楷體"/>
      <w:kern w:val="2"/>
      <w:sz w:val="28"/>
      <w:szCs w:val="28"/>
    </w:rPr>
  </w:style>
  <w:style w:type="paragraph" w:customStyle="1" w:styleId="BodyTextIndent1">
    <w:name w:val="Body Text Indent1"/>
    <w:basedOn w:val="a"/>
    <w:link w:val="af1"/>
    <w:uiPriority w:val="99"/>
    <w:rsid w:val="00121072"/>
    <w:pPr>
      <w:adjustRightInd w:val="0"/>
      <w:ind w:left="1440" w:hanging="1440"/>
      <w:textAlignment w:val="baseline"/>
    </w:pPr>
    <w:rPr>
      <w:rFonts w:ascii="標楷體" w:eastAsia="標楷體" w:cs="標楷體"/>
      <w:sz w:val="28"/>
      <w:szCs w:val="28"/>
    </w:rPr>
  </w:style>
  <w:style w:type="paragraph" w:styleId="af2">
    <w:name w:val="Revision"/>
    <w:hidden/>
    <w:uiPriority w:val="99"/>
    <w:semiHidden/>
    <w:rsid w:val="003C40D6"/>
    <w:rPr>
      <w:rFonts w:cs="Calibri"/>
      <w:szCs w:val="24"/>
    </w:rPr>
  </w:style>
  <w:style w:type="paragraph" w:customStyle="1" w:styleId="af3">
    <w:name w:val="一般項目符號"/>
    <w:basedOn w:val="a"/>
    <w:next w:val="a"/>
    <w:uiPriority w:val="99"/>
    <w:rsid w:val="00433169"/>
    <w:pPr>
      <w:kinsoku w:val="0"/>
      <w:overflowPunct w:val="0"/>
      <w:autoSpaceDE w:val="0"/>
      <w:autoSpaceDN w:val="0"/>
      <w:spacing w:line="315" w:lineRule="exact"/>
      <w:ind w:leftChars="100" w:left="100" w:firstLineChars="100" w:firstLine="100"/>
      <w:jc w:val="both"/>
      <w:textAlignment w:val="center"/>
    </w:pPr>
    <w:rPr>
      <w:rFonts w:ascii="華康細明體" w:eastAsia="華康細明體" w:hAnsi="Times New Roman" w:cs="華康細明體"/>
      <w:kern w:val="0"/>
      <w:sz w:val="21"/>
      <w:szCs w:val="21"/>
    </w:rPr>
  </w:style>
</w:styles>
</file>

<file path=word/webSettings.xml><?xml version="1.0" encoding="utf-8"?>
<w:webSettings xmlns:r="http://schemas.openxmlformats.org/officeDocument/2006/relationships" xmlns:w="http://schemas.openxmlformats.org/wordprocessingml/2006/main">
  <w:divs>
    <w:div w:id="2129202660">
      <w:marLeft w:val="0"/>
      <w:marRight w:val="0"/>
      <w:marTop w:val="0"/>
      <w:marBottom w:val="0"/>
      <w:divBdr>
        <w:top w:val="none" w:sz="0" w:space="0" w:color="auto"/>
        <w:left w:val="none" w:sz="0" w:space="0" w:color="auto"/>
        <w:bottom w:val="none" w:sz="0" w:space="0" w:color="auto"/>
        <w:right w:val="none" w:sz="0" w:space="0" w:color="auto"/>
      </w:divBdr>
    </w:div>
    <w:div w:id="2129202662">
      <w:marLeft w:val="0"/>
      <w:marRight w:val="0"/>
      <w:marTop w:val="0"/>
      <w:marBottom w:val="0"/>
      <w:divBdr>
        <w:top w:val="none" w:sz="0" w:space="0" w:color="auto"/>
        <w:left w:val="none" w:sz="0" w:space="0" w:color="auto"/>
        <w:bottom w:val="none" w:sz="0" w:space="0" w:color="auto"/>
        <w:right w:val="none" w:sz="0" w:space="0" w:color="auto"/>
      </w:divBdr>
      <w:divsChild>
        <w:div w:id="2129202667">
          <w:marLeft w:val="0"/>
          <w:marRight w:val="0"/>
          <w:marTop w:val="0"/>
          <w:marBottom w:val="0"/>
          <w:divBdr>
            <w:top w:val="none" w:sz="0" w:space="0" w:color="auto"/>
            <w:left w:val="none" w:sz="0" w:space="0" w:color="auto"/>
            <w:bottom w:val="none" w:sz="0" w:space="0" w:color="auto"/>
            <w:right w:val="none" w:sz="0" w:space="0" w:color="auto"/>
          </w:divBdr>
          <w:divsChild>
            <w:div w:id="2129202666">
              <w:marLeft w:val="0"/>
              <w:marRight w:val="0"/>
              <w:marTop w:val="0"/>
              <w:marBottom w:val="0"/>
              <w:divBdr>
                <w:top w:val="none" w:sz="0" w:space="0" w:color="auto"/>
                <w:left w:val="none" w:sz="0" w:space="0" w:color="auto"/>
                <w:bottom w:val="none" w:sz="0" w:space="0" w:color="auto"/>
                <w:right w:val="none" w:sz="0" w:space="0" w:color="auto"/>
              </w:divBdr>
              <w:divsChild>
                <w:div w:id="2129202664">
                  <w:marLeft w:val="0"/>
                  <w:marRight w:val="0"/>
                  <w:marTop w:val="0"/>
                  <w:marBottom w:val="0"/>
                  <w:divBdr>
                    <w:top w:val="none" w:sz="0" w:space="0" w:color="auto"/>
                    <w:left w:val="none" w:sz="0" w:space="0" w:color="auto"/>
                    <w:bottom w:val="none" w:sz="0" w:space="0" w:color="auto"/>
                    <w:right w:val="none" w:sz="0" w:space="0" w:color="auto"/>
                  </w:divBdr>
                  <w:divsChild>
                    <w:div w:id="2129202663">
                      <w:marLeft w:val="0"/>
                      <w:marRight w:val="0"/>
                      <w:marTop w:val="0"/>
                      <w:marBottom w:val="0"/>
                      <w:divBdr>
                        <w:top w:val="none" w:sz="0" w:space="0" w:color="auto"/>
                        <w:left w:val="none" w:sz="0" w:space="0" w:color="auto"/>
                        <w:bottom w:val="none" w:sz="0" w:space="0" w:color="auto"/>
                        <w:right w:val="none" w:sz="0" w:space="0" w:color="auto"/>
                      </w:divBdr>
                      <w:divsChild>
                        <w:div w:id="2129202661">
                          <w:marLeft w:val="0"/>
                          <w:marRight w:val="0"/>
                          <w:marTop w:val="0"/>
                          <w:marBottom w:val="0"/>
                          <w:divBdr>
                            <w:top w:val="none" w:sz="0" w:space="0" w:color="auto"/>
                            <w:left w:val="none" w:sz="0" w:space="0" w:color="auto"/>
                            <w:bottom w:val="none" w:sz="0" w:space="0" w:color="auto"/>
                            <w:right w:val="none" w:sz="0" w:space="0" w:color="auto"/>
                          </w:divBdr>
                        </w:div>
                        <w:div w:id="2129202665">
                          <w:marLeft w:val="0"/>
                          <w:marRight w:val="0"/>
                          <w:marTop w:val="0"/>
                          <w:marBottom w:val="0"/>
                          <w:divBdr>
                            <w:top w:val="none" w:sz="0" w:space="0" w:color="auto"/>
                            <w:left w:val="none" w:sz="0" w:space="0" w:color="auto"/>
                            <w:bottom w:val="none" w:sz="0" w:space="0" w:color="auto"/>
                            <w:right w:val="none" w:sz="0" w:space="0" w:color="auto"/>
                          </w:divBdr>
                        </w:div>
                        <w:div w:id="2129202669">
                          <w:marLeft w:val="0"/>
                          <w:marRight w:val="0"/>
                          <w:marTop w:val="0"/>
                          <w:marBottom w:val="0"/>
                          <w:divBdr>
                            <w:top w:val="none" w:sz="0" w:space="0" w:color="auto"/>
                            <w:left w:val="none" w:sz="0" w:space="0" w:color="auto"/>
                            <w:bottom w:val="none" w:sz="0" w:space="0" w:color="auto"/>
                            <w:right w:val="none" w:sz="0" w:space="0" w:color="auto"/>
                          </w:divBdr>
                        </w:div>
                        <w:div w:id="2129202670">
                          <w:marLeft w:val="0"/>
                          <w:marRight w:val="0"/>
                          <w:marTop w:val="0"/>
                          <w:marBottom w:val="0"/>
                          <w:divBdr>
                            <w:top w:val="none" w:sz="0" w:space="0" w:color="auto"/>
                            <w:left w:val="none" w:sz="0" w:space="0" w:color="auto"/>
                            <w:bottom w:val="none" w:sz="0" w:space="0" w:color="auto"/>
                            <w:right w:val="none" w:sz="0" w:space="0" w:color="auto"/>
                          </w:divBdr>
                        </w:div>
                        <w:div w:id="2129202682">
                          <w:marLeft w:val="0"/>
                          <w:marRight w:val="0"/>
                          <w:marTop w:val="0"/>
                          <w:marBottom w:val="0"/>
                          <w:divBdr>
                            <w:top w:val="none" w:sz="0" w:space="0" w:color="auto"/>
                            <w:left w:val="none" w:sz="0" w:space="0" w:color="auto"/>
                            <w:bottom w:val="none" w:sz="0" w:space="0" w:color="auto"/>
                            <w:right w:val="none" w:sz="0" w:space="0" w:color="auto"/>
                          </w:divBdr>
                        </w:div>
                        <w:div w:id="2129202683">
                          <w:marLeft w:val="0"/>
                          <w:marRight w:val="0"/>
                          <w:marTop w:val="0"/>
                          <w:marBottom w:val="0"/>
                          <w:divBdr>
                            <w:top w:val="none" w:sz="0" w:space="0" w:color="auto"/>
                            <w:left w:val="none" w:sz="0" w:space="0" w:color="auto"/>
                            <w:bottom w:val="none" w:sz="0" w:space="0" w:color="auto"/>
                            <w:right w:val="none" w:sz="0" w:space="0" w:color="auto"/>
                          </w:divBdr>
                        </w:div>
                        <w:div w:id="2129202684">
                          <w:marLeft w:val="0"/>
                          <w:marRight w:val="0"/>
                          <w:marTop w:val="0"/>
                          <w:marBottom w:val="0"/>
                          <w:divBdr>
                            <w:top w:val="none" w:sz="0" w:space="0" w:color="auto"/>
                            <w:left w:val="none" w:sz="0" w:space="0" w:color="auto"/>
                            <w:bottom w:val="none" w:sz="0" w:space="0" w:color="auto"/>
                            <w:right w:val="none" w:sz="0" w:space="0" w:color="auto"/>
                          </w:divBdr>
                        </w:div>
                        <w:div w:id="21292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202668">
          <w:marLeft w:val="0"/>
          <w:marRight w:val="0"/>
          <w:marTop w:val="0"/>
          <w:marBottom w:val="0"/>
          <w:divBdr>
            <w:top w:val="none" w:sz="0" w:space="0" w:color="auto"/>
            <w:left w:val="none" w:sz="0" w:space="0" w:color="auto"/>
            <w:bottom w:val="none" w:sz="0" w:space="0" w:color="auto"/>
            <w:right w:val="none" w:sz="0" w:space="0" w:color="auto"/>
          </w:divBdr>
        </w:div>
      </w:divsChild>
    </w:div>
    <w:div w:id="2129202677">
      <w:marLeft w:val="0"/>
      <w:marRight w:val="0"/>
      <w:marTop w:val="0"/>
      <w:marBottom w:val="0"/>
      <w:divBdr>
        <w:top w:val="none" w:sz="0" w:space="0" w:color="auto"/>
        <w:left w:val="none" w:sz="0" w:space="0" w:color="auto"/>
        <w:bottom w:val="none" w:sz="0" w:space="0" w:color="auto"/>
        <w:right w:val="none" w:sz="0" w:space="0" w:color="auto"/>
      </w:divBdr>
      <w:divsChild>
        <w:div w:id="2129202675">
          <w:marLeft w:val="0"/>
          <w:marRight w:val="0"/>
          <w:marTop w:val="0"/>
          <w:marBottom w:val="0"/>
          <w:divBdr>
            <w:top w:val="none" w:sz="0" w:space="0" w:color="auto"/>
            <w:left w:val="none" w:sz="0" w:space="0" w:color="auto"/>
            <w:bottom w:val="none" w:sz="0" w:space="0" w:color="auto"/>
            <w:right w:val="none" w:sz="0" w:space="0" w:color="auto"/>
          </w:divBdr>
          <w:divsChild>
            <w:div w:id="2129202676">
              <w:marLeft w:val="0"/>
              <w:marRight w:val="0"/>
              <w:marTop w:val="0"/>
              <w:marBottom w:val="0"/>
              <w:divBdr>
                <w:top w:val="none" w:sz="0" w:space="0" w:color="auto"/>
                <w:left w:val="none" w:sz="0" w:space="0" w:color="auto"/>
                <w:bottom w:val="none" w:sz="0" w:space="0" w:color="auto"/>
                <w:right w:val="none" w:sz="0" w:space="0" w:color="auto"/>
              </w:divBdr>
              <w:divsChild>
                <w:div w:id="2129202673">
                  <w:marLeft w:val="0"/>
                  <w:marRight w:val="0"/>
                  <w:marTop w:val="0"/>
                  <w:marBottom w:val="0"/>
                  <w:divBdr>
                    <w:top w:val="none" w:sz="0" w:space="0" w:color="auto"/>
                    <w:left w:val="none" w:sz="0" w:space="0" w:color="auto"/>
                    <w:bottom w:val="none" w:sz="0" w:space="0" w:color="auto"/>
                    <w:right w:val="none" w:sz="0" w:space="0" w:color="auto"/>
                  </w:divBdr>
                  <w:divsChild>
                    <w:div w:id="21292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202679">
      <w:marLeft w:val="0"/>
      <w:marRight w:val="0"/>
      <w:marTop w:val="0"/>
      <w:marBottom w:val="0"/>
      <w:divBdr>
        <w:top w:val="none" w:sz="0" w:space="0" w:color="auto"/>
        <w:left w:val="none" w:sz="0" w:space="0" w:color="auto"/>
        <w:bottom w:val="none" w:sz="0" w:space="0" w:color="auto"/>
        <w:right w:val="none" w:sz="0" w:space="0" w:color="auto"/>
      </w:divBdr>
      <w:divsChild>
        <w:div w:id="2129202678">
          <w:marLeft w:val="547"/>
          <w:marRight w:val="0"/>
          <w:marTop w:val="0"/>
          <w:marBottom w:val="0"/>
          <w:divBdr>
            <w:top w:val="none" w:sz="0" w:space="0" w:color="auto"/>
            <w:left w:val="none" w:sz="0" w:space="0" w:color="auto"/>
            <w:bottom w:val="none" w:sz="0" w:space="0" w:color="auto"/>
            <w:right w:val="none" w:sz="0" w:space="0" w:color="auto"/>
          </w:divBdr>
        </w:div>
      </w:divsChild>
    </w:div>
    <w:div w:id="2129202680">
      <w:marLeft w:val="0"/>
      <w:marRight w:val="0"/>
      <w:marTop w:val="0"/>
      <w:marBottom w:val="0"/>
      <w:divBdr>
        <w:top w:val="none" w:sz="0" w:space="0" w:color="auto"/>
        <w:left w:val="none" w:sz="0" w:space="0" w:color="auto"/>
        <w:bottom w:val="none" w:sz="0" w:space="0" w:color="auto"/>
        <w:right w:val="none" w:sz="0" w:space="0" w:color="auto"/>
      </w:divBdr>
      <w:divsChild>
        <w:div w:id="2129202672">
          <w:marLeft w:val="547"/>
          <w:marRight w:val="0"/>
          <w:marTop w:val="0"/>
          <w:marBottom w:val="0"/>
          <w:divBdr>
            <w:top w:val="none" w:sz="0" w:space="0" w:color="auto"/>
            <w:left w:val="none" w:sz="0" w:space="0" w:color="auto"/>
            <w:bottom w:val="none" w:sz="0" w:space="0" w:color="auto"/>
            <w:right w:val="none" w:sz="0" w:space="0" w:color="auto"/>
          </w:divBdr>
        </w:div>
      </w:divsChild>
    </w:div>
    <w:div w:id="2129202681">
      <w:marLeft w:val="0"/>
      <w:marRight w:val="0"/>
      <w:marTop w:val="0"/>
      <w:marBottom w:val="0"/>
      <w:divBdr>
        <w:top w:val="none" w:sz="0" w:space="0" w:color="auto"/>
        <w:left w:val="none" w:sz="0" w:space="0" w:color="auto"/>
        <w:bottom w:val="none" w:sz="0" w:space="0" w:color="auto"/>
        <w:right w:val="none" w:sz="0" w:space="0" w:color="auto"/>
      </w:divBdr>
      <w:divsChild>
        <w:div w:id="21292026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1AF19-F627-4BA5-A4F4-D2591B90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1829</Words>
  <Characters>10426</Characters>
  <Application>Microsoft Office Word</Application>
  <DocSecurity>0</DocSecurity>
  <Lines>86</Lines>
  <Paragraphs>24</Paragraphs>
  <ScaleCrop>false</ScaleCrop>
  <Company>TPC</Company>
  <LinksUpToDate>false</LinksUpToDate>
  <CharactersWithSpaces>12231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「公務人員安全及衛生防護辦法」部分條文修正草案總說明</dc:title>
  <dc:subject/>
  <dc:creator>陳</dc:creator>
  <cp:keywords/>
  <dc:description/>
  <cp:lastModifiedBy>Valued Acer Customer</cp:lastModifiedBy>
  <cp:revision>9</cp:revision>
  <cp:lastPrinted>2015-03-10T03:09:00Z</cp:lastPrinted>
  <dcterms:created xsi:type="dcterms:W3CDTF">2015-03-17T01:39:00Z</dcterms:created>
  <dcterms:modified xsi:type="dcterms:W3CDTF">2015-03-18T01:18:00Z</dcterms:modified>
</cp:coreProperties>
</file>