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90" w:rsidRDefault="00CE3A90" w:rsidP="006521D2">
      <w:pPr>
        <w:jc w:val="center"/>
        <w:rPr>
          <w:rFonts w:ascii="Times New Roman" w:eastAsia="標楷體" w:hAnsi="Times New Roman" w:cs="Times New Roman"/>
        </w:rPr>
      </w:pPr>
      <w:bookmarkStart w:id="0" w:name="_GoBack"/>
      <w:bookmarkEnd w:id="0"/>
      <w:r>
        <w:rPr>
          <w:rFonts w:ascii="Times New Roman" w:eastAsia="標楷體" w:hAnsi="Times New Roman" w:cs="Times New Roman"/>
        </w:rPr>
        <w:t>建構公務人員專業加給</w:t>
      </w:r>
      <w:r w:rsidR="00CD3AAD" w:rsidRPr="009C12F3">
        <w:rPr>
          <w:rFonts w:ascii="Times New Roman" w:eastAsia="標楷體" w:hAnsi="Times New Roman" w:cs="Times New Roman"/>
        </w:rPr>
        <w:t>評價</w:t>
      </w:r>
      <w:r>
        <w:rPr>
          <w:rFonts w:ascii="Times New Roman" w:eastAsia="標楷體" w:hAnsi="Times New Roman" w:cs="Times New Roman" w:hint="eastAsia"/>
        </w:rPr>
        <w:t>因素</w:t>
      </w:r>
      <w:r w:rsidR="00B01121">
        <w:rPr>
          <w:rFonts w:ascii="Times New Roman" w:eastAsia="標楷體" w:hAnsi="Times New Roman" w:cs="Times New Roman" w:hint="eastAsia"/>
        </w:rPr>
        <w:t>的</w:t>
      </w:r>
      <w:r w:rsidR="00B01121" w:rsidRPr="00B01121">
        <w:rPr>
          <w:rFonts w:ascii="Times New Roman" w:eastAsia="標楷體" w:hAnsi="Times New Roman" w:cs="Times New Roman" w:hint="eastAsia"/>
          <w:b/>
          <w:u w:val="single"/>
        </w:rPr>
        <w:t>背景資料說明</w:t>
      </w:r>
    </w:p>
    <w:p w:rsidR="00F40876" w:rsidRDefault="00F40876" w:rsidP="00F40876">
      <w:pPr>
        <w:jc w:val="right"/>
        <w:rPr>
          <w:rFonts w:ascii="Times New Roman" w:eastAsia="標楷體" w:hAnsi="Times New Roman" w:cs="Times New Roman"/>
        </w:rPr>
      </w:pPr>
    </w:p>
    <w:p w:rsidR="00CE3A90" w:rsidRDefault="00F40876" w:rsidP="00F40876">
      <w:pPr>
        <w:jc w:val="right"/>
        <w:rPr>
          <w:rFonts w:ascii="Times New Roman" w:eastAsia="標楷體" w:hAnsi="Times New Roman" w:cs="Times New Roman"/>
        </w:rPr>
      </w:pPr>
      <w:r>
        <w:rPr>
          <w:rFonts w:ascii="Times New Roman" w:eastAsia="標楷體" w:hAnsi="Times New Roman" w:cs="Times New Roman" w:hint="eastAsia"/>
        </w:rPr>
        <w:t>政治大學公共行政學系施能傑特聘教授</w:t>
      </w:r>
    </w:p>
    <w:p w:rsidR="006521D2" w:rsidRDefault="006521D2" w:rsidP="00CD3AAD">
      <w:pPr>
        <w:rPr>
          <w:rFonts w:ascii="Times New Roman" w:eastAsia="標楷體" w:hAnsi="Times New Roman" w:cs="Times New Roman"/>
        </w:rPr>
      </w:pPr>
    </w:p>
    <w:p w:rsidR="00F40876" w:rsidRPr="00F40876" w:rsidRDefault="00F40876" w:rsidP="00CD3AAD">
      <w:pPr>
        <w:rPr>
          <w:rFonts w:ascii="Times New Roman" w:eastAsia="標楷體" w:hAnsi="Times New Roman" w:cs="Times New Roman"/>
        </w:rPr>
      </w:pPr>
    </w:p>
    <w:p w:rsidR="00774E5D" w:rsidRPr="009C12F3" w:rsidRDefault="00774E5D" w:rsidP="00E027C8">
      <w:pPr>
        <w:spacing w:line="300" w:lineRule="auto"/>
        <w:rPr>
          <w:rFonts w:ascii="Times New Roman" w:eastAsia="標楷體" w:hAnsi="Times New Roman" w:cs="Times New Roman"/>
        </w:rPr>
      </w:pPr>
      <w:r w:rsidRPr="009C12F3">
        <w:rPr>
          <w:rFonts w:ascii="Times New Roman" w:eastAsia="標楷體" w:hAnsi="Times New Roman" w:cs="Times New Roman"/>
        </w:rPr>
        <w:t>壹、</w:t>
      </w:r>
      <w:r w:rsidR="00882D4D" w:rsidRPr="009C12F3">
        <w:rPr>
          <w:rFonts w:ascii="Times New Roman" w:eastAsia="標楷體" w:hAnsi="Times New Roman" w:cs="Times New Roman"/>
        </w:rPr>
        <w:t>專業加給</w:t>
      </w:r>
      <w:r w:rsidR="00F40876">
        <w:rPr>
          <w:rFonts w:ascii="Times New Roman" w:eastAsia="標楷體" w:hAnsi="Times New Roman" w:cs="Times New Roman" w:hint="eastAsia"/>
        </w:rPr>
        <w:t>的角色</w:t>
      </w:r>
    </w:p>
    <w:p w:rsidR="00D219D6" w:rsidRPr="006521D2" w:rsidRDefault="00D219D6" w:rsidP="00E027C8">
      <w:pPr>
        <w:spacing w:line="300" w:lineRule="auto"/>
        <w:rPr>
          <w:rFonts w:ascii="Times New Roman" w:eastAsia="標楷體" w:hAnsi="Times New Roman" w:cs="Times New Roman"/>
        </w:rPr>
      </w:pPr>
    </w:p>
    <w:p w:rsidR="001621EB" w:rsidRDefault="009D6413" w:rsidP="00DE2C52">
      <w:pPr>
        <w:spacing w:line="300" w:lineRule="auto"/>
        <w:ind w:firstLineChars="200" w:firstLine="480"/>
        <w:rPr>
          <w:rFonts w:ascii="標楷體" w:eastAsia="標楷體" w:hAnsi="標楷體"/>
          <w:color w:val="000000"/>
          <w:sz w:val="23"/>
          <w:szCs w:val="23"/>
        </w:rPr>
      </w:pPr>
      <w:r w:rsidRPr="009D6413">
        <w:rPr>
          <w:rFonts w:ascii="Times New Roman" w:eastAsia="標楷體" w:hAnsi="Times New Roman" w:cs="Times New Roman"/>
          <w:szCs w:val="24"/>
        </w:rPr>
        <w:t>1987</w:t>
      </w:r>
      <w:r w:rsidRPr="009D6413">
        <w:rPr>
          <w:rFonts w:ascii="Times New Roman" w:eastAsia="標楷體" w:hAnsi="Times New Roman" w:cs="Times New Roman"/>
          <w:szCs w:val="24"/>
        </w:rPr>
        <w:t>年重訂的現行</w:t>
      </w:r>
      <w:r w:rsidR="0006719E" w:rsidRPr="009D6413">
        <w:rPr>
          <w:rFonts w:ascii="Times New Roman" w:eastAsia="標楷體" w:hAnsi="Times New Roman" w:cs="Times New Roman"/>
          <w:szCs w:val="24"/>
        </w:rPr>
        <w:t>公務人員俸給法，</w:t>
      </w:r>
      <w:r w:rsidR="00B01121">
        <w:rPr>
          <w:rFonts w:ascii="Times New Roman" w:eastAsia="標楷體" w:hAnsi="Times New Roman" w:cs="Times New Roman" w:hint="eastAsia"/>
          <w:color w:val="000000"/>
          <w:szCs w:val="24"/>
        </w:rPr>
        <w:t>公務人員每月薪資不採取單一薪資制度，而是分為「本俸」和「</w:t>
      </w:r>
      <w:r w:rsidR="00B01121">
        <w:rPr>
          <w:rFonts w:ascii="Times New Roman" w:eastAsia="標楷體" w:hAnsi="Times New Roman" w:cs="Times New Roman" w:hint="eastAsia"/>
        </w:rPr>
        <w:t>技術或專業加給</w:t>
      </w:r>
      <w:r w:rsidR="00B01121">
        <w:rPr>
          <w:rFonts w:ascii="Times New Roman" w:eastAsia="標楷體" w:hAnsi="Times New Roman" w:cs="Times New Roman" w:hint="eastAsia"/>
          <w:color w:val="000000"/>
          <w:szCs w:val="24"/>
        </w:rPr>
        <w:t>」兩項。本俸和</w:t>
      </w:r>
      <w:r w:rsidR="00B01121">
        <w:rPr>
          <w:rFonts w:ascii="Times New Roman" w:eastAsia="標楷體" w:hAnsi="Times New Roman" w:cs="Times New Roman" w:hint="eastAsia"/>
        </w:rPr>
        <w:t>專業加給的實支數額都是根據各職等支付，</w:t>
      </w:r>
      <w:r w:rsidR="001621EB">
        <w:rPr>
          <w:rFonts w:ascii="Times New Roman" w:eastAsia="標楷體" w:hAnsi="Times New Roman" w:cs="Times New Roman" w:hint="eastAsia"/>
        </w:rPr>
        <w:t>目前，專業加給一項數額</w:t>
      </w:r>
      <w:r w:rsidR="00B01121">
        <w:rPr>
          <w:rFonts w:ascii="Times New Roman" w:eastAsia="標楷體" w:hAnsi="Times New Roman" w:cs="Times New Roman" w:hint="eastAsia"/>
        </w:rPr>
        <w:t>占各職等每月</w:t>
      </w:r>
      <w:r w:rsidR="001621EB">
        <w:rPr>
          <w:rFonts w:ascii="Times New Roman" w:eastAsia="標楷體" w:hAnsi="Times New Roman" w:cs="Times New Roman" w:hint="eastAsia"/>
        </w:rPr>
        <w:t>薪資</w:t>
      </w:r>
      <w:r w:rsidR="00B01121">
        <w:rPr>
          <w:rFonts w:ascii="Times New Roman" w:eastAsia="標楷體" w:hAnsi="Times New Roman" w:cs="Times New Roman" w:hint="eastAsia"/>
        </w:rPr>
        <w:t>總額比例</w:t>
      </w:r>
      <w:r w:rsidR="00B01121" w:rsidRPr="009C12F3">
        <w:rPr>
          <w:rFonts w:ascii="Times New Roman" w:eastAsia="標楷體" w:hAnsi="Times New Roman" w:cs="Times New Roman"/>
        </w:rPr>
        <w:t>均超過四成</w:t>
      </w:r>
      <w:r w:rsidR="00B01121" w:rsidRPr="00EF2BA5">
        <w:rPr>
          <w:rFonts w:ascii="標楷體" w:eastAsia="標楷體" w:hAnsi="標楷體" w:hint="eastAsia"/>
          <w:color w:val="000000"/>
          <w:sz w:val="23"/>
          <w:szCs w:val="23"/>
        </w:rPr>
        <w:t>。</w:t>
      </w:r>
    </w:p>
    <w:p w:rsidR="001621EB" w:rsidRDefault="00DD70F0" w:rsidP="00CF6220">
      <w:pPr>
        <w:spacing w:line="300" w:lineRule="auto"/>
        <w:ind w:firstLineChars="200" w:firstLine="480"/>
        <w:rPr>
          <w:rFonts w:ascii="Times New Roman" w:eastAsia="標楷體" w:hAnsi="Times New Roman" w:cs="Times New Roman"/>
        </w:rPr>
      </w:pPr>
      <w:r>
        <w:rPr>
          <w:rFonts w:ascii="Times New Roman" w:eastAsia="標楷體" w:hAnsi="Times New Roman" w:cs="Times New Roman" w:hint="eastAsia"/>
          <w:color w:val="000000"/>
          <w:szCs w:val="24"/>
        </w:rPr>
        <w:t>公務人員</w:t>
      </w:r>
      <w:r w:rsidR="001621EB">
        <w:rPr>
          <w:rFonts w:ascii="Times New Roman" w:eastAsia="標楷體" w:hAnsi="Times New Roman" w:cs="Times New Roman" w:hint="eastAsia"/>
          <w:color w:val="000000"/>
          <w:szCs w:val="24"/>
        </w:rPr>
        <w:t>因其所擔任工作類別或服務機關，適用的</w:t>
      </w:r>
      <w:r w:rsidR="00B01121">
        <w:rPr>
          <w:rFonts w:ascii="Times New Roman" w:eastAsia="標楷體" w:hAnsi="Times New Roman" w:cs="Times New Roman" w:hint="eastAsia"/>
        </w:rPr>
        <w:t>專業加給</w:t>
      </w:r>
      <w:r w:rsidR="001621EB">
        <w:rPr>
          <w:rFonts w:ascii="Times New Roman" w:eastAsia="標楷體" w:hAnsi="Times New Roman" w:cs="Times New Roman" w:hint="eastAsia"/>
          <w:color w:val="000000"/>
          <w:szCs w:val="24"/>
        </w:rPr>
        <w:t>表有所不同</w:t>
      </w:r>
      <w:r w:rsidR="00B01121">
        <w:rPr>
          <w:rFonts w:ascii="Times New Roman" w:eastAsia="標楷體" w:hAnsi="Times New Roman" w:cs="Times New Roman" w:hint="eastAsia"/>
          <w:color w:val="000000"/>
          <w:szCs w:val="24"/>
        </w:rPr>
        <w:t>。</w:t>
      </w:r>
      <w:r w:rsidR="001621EB">
        <w:rPr>
          <w:rFonts w:ascii="Times New Roman" w:eastAsia="標楷體" w:hAnsi="Times New Roman" w:cs="Times New Roman" w:hint="eastAsia"/>
          <w:color w:val="000000"/>
          <w:szCs w:val="24"/>
        </w:rPr>
        <w:t>換言之，不同機關或甚至同一機關內相同職等公務人員的</w:t>
      </w:r>
      <w:r w:rsidR="009F6B9D">
        <w:rPr>
          <w:rFonts w:ascii="Times New Roman" w:eastAsia="標楷體" w:hAnsi="Times New Roman" w:cs="Times New Roman" w:hint="eastAsia"/>
        </w:rPr>
        <w:t>專業加給</w:t>
      </w:r>
      <w:r w:rsidR="001621EB">
        <w:rPr>
          <w:rFonts w:ascii="Times New Roman" w:eastAsia="標楷體" w:hAnsi="Times New Roman" w:cs="Times New Roman" w:hint="eastAsia"/>
        </w:rPr>
        <w:t>有所不同，因此每月薪資總數就不同。許多公務人員抱怨薪資有同工不同酬的問題，這是重要原因之一。</w:t>
      </w:r>
    </w:p>
    <w:p w:rsidR="001621EB" w:rsidRDefault="001621EB" w:rsidP="00CF6220">
      <w:pPr>
        <w:spacing w:line="300" w:lineRule="auto"/>
        <w:ind w:firstLineChars="200" w:firstLine="480"/>
        <w:rPr>
          <w:rFonts w:ascii="Times New Roman" w:eastAsia="標楷體" w:hAnsi="Times New Roman" w:cs="Times New Roman"/>
        </w:rPr>
      </w:pPr>
      <w:r>
        <w:rPr>
          <w:rFonts w:ascii="Times New Roman" w:eastAsia="標楷體" w:hAnsi="Times New Roman" w:cs="Times New Roman" w:hint="eastAsia"/>
        </w:rPr>
        <w:t>專業加給表的數目經過兩次簡併後，已大幅減至目前的二十餘種。不過，</w:t>
      </w:r>
      <w:r w:rsidR="00B91164">
        <w:rPr>
          <w:rFonts w:ascii="Times New Roman" w:eastAsia="標楷體" w:hAnsi="Times New Roman" w:cs="Times New Roman"/>
        </w:rPr>
        <w:t>立法院</w:t>
      </w:r>
      <w:r w:rsidR="00B91164" w:rsidRPr="009C12F3">
        <w:rPr>
          <w:rFonts w:ascii="Times New Roman" w:eastAsia="標楷體" w:hAnsi="Times New Roman" w:cs="Times New Roman"/>
        </w:rPr>
        <w:t>102</w:t>
      </w:r>
      <w:r w:rsidR="00B91164" w:rsidRPr="009C12F3">
        <w:rPr>
          <w:rFonts w:ascii="Times New Roman" w:eastAsia="標楷體" w:hAnsi="Times New Roman" w:cs="Times New Roman"/>
        </w:rPr>
        <w:t>年度中央政府總預算</w:t>
      </w:r>
      <w:r>
        <w:rPr>
          <w:rFonts w:ascii="Times New Roman" w:eastAsia="標楷體" w:hAnsi="Times New Roman" w:cs="Times New Roman" w:hint="eastAsia"/>
        </w:rPr>
        <w:t>做出決議，</w:t>
      </w:r>
      <w:r w:rsidR="00B91164" w:rsidRPr="009C12F3">
        <w:rPr>
          <w:rFonts w:ascii="Times New Roman" w:eastAsia="標楷體" w:hAnsi="Times New Roman" w:cs="Times New Roman"/>
        </w:rPr>
        <w:t>要求行政院人事行政總處</w:t>
      </w:r>
      <w:r>
        <w:rPr>
          <w:rFonts w:ascii="Times New Roman" w:eastAsia="標楷體" w:hAnsi="Times New Roman" w:cs="Times New Roman" w:hint="eastAsia"/>
        </w:rPr>
        <w:t>繼續</w:t>
      </w:r>
      <w:r w:rsidR="00B91164" w:rsidRPr="009C12F3">
        <w:rPr>
          <w:rFonts w:ascii="Times New Roman" w:eastAsia="標楷體" w:hAnsi="Times New Roman" w:cs="Times New Roman"/>
        </w:rPr>
        <w:t>檢視調整簡併各類人員專業加給</w:t>
      </w:r>
      <w:r w:rsidR="00B91164">
        <w:rPr>
          <w:rFonts w:ascii="Times New Roman" w:eastAsia="標楷體" w:hAnsi="Times New Roman" w:cs="Times New Roman" w:hint="eastAsia"/>
        </w:rPr>
        <w:t>。</w:t>
      </w:r>
      <w:r>
        <w:rPr>
          <w:rFonts w:ascii="Times New Roman" w:eastAsia="標楷體" w:hAnsi="Times New Roman" w:cs="Times New Roman" w:hint="eastAsia"/>
        </w:rPr>
        <w:t>這就是本項專案研究的來源。</w:t>
      </w:r>
    </w:p>
    <w:p w:rsidR="00C21066" w:rsidRPr="00F96CAF" w:rsidRDefault="00C21066" w:rsidP="00AA24A1">
      <w:pPr>
        <w:spacing w:line="300" w:lineRule="auto"/>
        <w:ind w:firstLineChars="200" w:firstLine="480"/>
        <w:rPr>
          <w:rFonts w:ascii="Times New Roman" w:eastAsia="標楷體" w:hAnsi="Times New Roman" w:cs="Times New Roman"/>
        </w:rPr>
      </w:pPr>
    </w:p>
    <w:p w:rsidR="00C52318" w:rsidRPr="009C12F3" w:rsidRDefault="00F40876" w:rsidP="00C52318">
      <w:pPr>
        <w:spacing w:line="300" w:lineRule="auto"/>
        <w:rPr>
          <w:rFonts w:ascii="Times New Roman" w:eastAsia="標楷體" w:hAnsi="Times New Roman" w:cs="Times New Roman"/>
        </w:rPr>
      </w:pPr>
      <w:r>
        <w:rPr>
          <w:rFonts w:ascii="Times New Roman" w:eastAsia="標楷體" w:hAnsi="Times New Roman" w:cs="Times New Roman" w:hint="eastAsia"/>
        </w:rPr>
        <w:t>貳</w:t>
      </w:r>
      <w:r w:rsidR="00C52318" w:rsidRPr="009C12F3">
        <w:rPr>
          <w:rFonts w:ascii="Times New Roman" w:eastAsia="標楷體" w:hAnsi="Times New Roman" w:cs="Times New Roman"/>
        </w:rPr>
        <w:t>、</w:t>
      </w:r>
      <w:r>
        <w:rPr>
          <w:rFonts w:ascii="Times New Roman" w:eastAsia="標楷體" w:hAnsi="Times New Roman" w:cs="Times New Roman" w:hint="eastAsia"/>
        </w:rPr>
        <w:t>研究團隊的初步構想</w:t>
      </w:r>
    </w:p>
    <w:p w:rsidR="00D219D6" w:rsidRPr="00882D4D" w:rsidRDefault="00D219D6" w:rsidP="00E027C8">
      <w:pPr>
        <w:spacing w:line="300" w:lineRule="auto"/>
        <w:rPr>
          <w:rFonts w:ascii="Times New Roman" w:eastAsia="標楷體" w:hAnsi="Times New Roman" w:cs="Times New Roman"/>
        </w:rPr>
      </w:pPr>
    </w:p>
    <w:p w:rsidR="00AA6C27" w:rsidRDefault="000722ED" w:rsidP="00F40876">
      <w:pPr>
        <w:spacing w:line="300" w:lineRule="auto"/>
        <w:ind w:firstLineChars="200" w:firstLine="480"/>
        <w:rPr>
          <w:rFonts w:ascii="Times New Roman" w:eastAsia="標楷體" w:hAnsi="Times New Roman"/>
          <w:szCs w:val="24"/>
        </w:rPr>
      </w:pPr>
      <w:r>
        <w:rPr>
          <w:rFonts w:ascii="Times New Roman" w:eastAsia="標楷體" w:hAnsi="Times New Roman" w:hint="eastAsia"/>
          <w:szCs w:val="24"/>
        </w:rPr>
        <w:t>根據人力資源管理薪資理論和實務，</w:t>
      </w:r>
      <w:r w:rsidR="00AA6C27">
        <w:rPr>
          <w:rFonts w:ascii="Times New Roman" w:eastAsia="標楷體" w:hAnsi="Times New Roman" w:hint="eastAsia"/>
          <w:szCs w:val="24"/>
        </w:rPr>
        <w:t>薪資制度的最基本規範是，確保政府各工作類別</w:t>
      </w:r>
      <w:r w:rsidR="00E746E3">
        <w:rPr>
          <w:rFonts w:ascii="Times New Roman" w:eastAsia="標楷體" w:hAnsi="Times New Roman" w:hint="eastAsia"/>
          <w:szCs w:val="24"/>
        </w:rPr>
        <w:t>同職等</w:t>
      </w:r>
      <w:r w:rsidR="00AA6C27">
        <w:rPr>
          <w:rFonts w:ascii="Times New Roman" w:eastAsia="標楷體" w:hAnsi="Times New Roman" w:hint="eastAsia"/>
          <w:szCs w:val="24"/>
        </w:rPr>
        <w:t>者應該同酬。但若某一工作類別在民間企業的薪資水準相對很高，政府就應該要適度地接受該工作類別各職等的薪資要高於其他工作類別，期具有吸引和留住人力的競爭力</w:t>
      </w:r>
      <w:r w:rsidR="00B4375B">
        <w:rPr>
          <w:rFonts w:ascii="Times New Roman" w:eastAsia="標楷體" w:hAnsi="Times New Roman" w:hint="eastAsia"/>
          <w:szCs w:val="24"/>
        </w:rPr>
        <w:t>。</w:t>
      </w:r>
      <w:r w:rsidRPr="006C6B47">
        <w:rPr>
          <w:rFonts w:ascii="Times New Roman" w:eastAsia="標楷體" w:hAnsi="Times New Roman" w:hint="eastAsia"/>
          <w:szCs w:val="24"/>
          <w:u w:val="single"/>
        </w:rPr>
        <w:t>對照</w:t>
      </w:r>
      <w:r w:rsidR="00B4375B" w:rsidRPr="006C6B47">
        <w:rPr>
          <w:rFonts w:ascii="Times New Roman" w:eastAsia="標楷體" w:hAnsi="Times New Roman" w:hint="eastAsia"/>
          <w:szCs w:val="24"/>
          <w:u w:val="single"/>
        </w:rPr>
        <w:t>公務人員俸給法的</w:t>
      </w:r>
      <w:r w:rsidRPr="006C6B47">
        <w:rPr>
          <w:rFonts w:ascii="Times New Roman" w:eastAsia="標楷體" w:hAnsi="Times New Roman" w:hint="eastAsia"/>
          <w:szCs w:val="24"/>
          <w:u w:val="single"/>
        </w:rPr>
        <w:t>設計</w:t>
      </w:r>
      <w:r w:rsidR="00B4375B" w:rsidRPr="006C6B47">
        <w:rPr>
          <w:rFonts w:ascii="Times New Roman" w:eastAsia="標楷體" w:hAnsi="Times New Roman" w:hint="eastAsia"/>
          <w:szCs w:val="24"/>
          <w:u w:val="single"/>
        </w:rPr>
        <w:t>本意，本俸一項的主要功能是確保同工同酬，專業加給一項的主要功能是</w:t>
      </w:r>
      <w:r w:rsidRPr="006C6B47">
        <w:rPr>
          <w:rFonts w:ascii="Times New Roman" w:eastAsia="標楷體" w:hAnsi="Times New Roman" w:hint="eastAsia"/>
          <w:szCs w:val="24"/>
          <w:u w:val="single"/>
        </w:rPr>
        <w:t>增進人力吸引競爭力</w:t>
      </w:r>
      <w:r>
        <w:rPr>
          <w:rFonts w:ascii="Times New Roman" w:eastAsia="標楷體" w:hAnsi="Times New Roman" w:hint="eastAsia"/>
          <w:szCs w:val="24"/>
        </w:rPr>
        <w:t>。</w:t>
      </w:r>
    </w:p>
    <w:p w:rsidR="000722ED" w:rsidRDefault="006C6B47" w:rsidP="000722ED">
      <w:pPr>
        <w:spacing w:line="300" w:lineRule="auto"/>
        <w:ind w:firstLineChars="200" w:firstLine="480"/>
        <w:rPr>
          <w:rFonts w:ascii="Times New Roman" w:eastAsia="標楷體" w:hAnsi="Times New Roman"/>
          <w:szCs w:val="24"/>
        </w:rPr>
      </w:pPr>
      <w:r>
        <w:rPr>
          <w:rFonts w:ascii="Times New Roman" w:eastAsia="標楷體" w:hAnsi="Times New Roman" w:hint="eastAsia"/>
          <w:szCs w:val="24"/>
        </w:rPr>
        <w:t>因此，</w:t>
      </w:r>
      <w:r w:rsidR="000722ED">
        <w:rPr>
          <w:rFonts w:ascii="Times New Roman" w:eastAsia="標楷體" w:hAnsi="Times New Roman" w:hint="eastAsia"/>
          <w:szCs w:val="24"/>
        </w:rPr>
        <w:t>本研究嘗試準科學化途徑，</w:t>
      </w:r>
      <w:r w:rsidR="008A3B4D">
        <w:rPr>
          <w:rFonts w:ascii="Times New Roman" w:eastAsia="標楷體" w:hAnsi="Times New Roman" w:hint="eastAsia"/>
          <w:szCs w:val="24"/>
        </w:rPr>
        <w:t>並參酌學理和國外政府對「專業」概念的詮釋，</w:t>
      </w:r>
      <w:r w:rsidR="000722ED">
        <w:rPr>
          <w:rFonts w:ascii="Times New Roman" w:eastAsia="標楷體" w:hAnsi="Times New Roman" w:hint="eastAsia"/>
          <w:szCs w:val="24"/>
        </w:rPr>
        <w:t>提出</w:t>
      </w:r>
      <w:r w:rsidR="000722ED" w:rsidRPr="008A1EC1">
        <w:rPr>
          <w:rFonts w:ascii="Times New Roman" w:eastAsia="標楷體" w:hAnsi="Times New Roman" w:hint="eastAsia"/>
          <w:b/>
          <w:szCs w:val="24"/>
          <w:u w:val="single"/>
        </w:rPr>
        <w:t>工作</w:t>
      </w:r>
      <w:r w:rsidR="008A1EC1" w:rsidRPr="008A1EC1">
        <w:rPr>
          <w:rFonts w:ascii="Times New Roman" w:eastAsia="標楷體" w:hAnsi="Times New Roman" w:hint="eastAsia"/>
          <w:b/>
          <w:szCs w:val="24"/>
          <w:u w:val="single"/>
        </w:rPr>
        <w:t>類別（或</w:t>
      </w:r>
      <w:r w:rsidR="000722ED" w:rsidRPr="008A1EC1">
        <w:rPr>
          <w:rFonts w:ascii="Times New Roman" w:eastAsia="標楷體" w:hAnsi="Times New Roman" w:hint="eastAsia"/>
          <w:b/>
          <w:szCs w:val="24"/>
          <w:u w:val="single"/>
        </w:rPr>
        <w:t>職系</w:t>
      </w:r>
      <w:r w:rsidR="008A1EC1" w:rsidRPr="008A1EC1">
        <w:rPr>
          <w:rFonts w:ascii="Times New Roman" w:eastAsia="標楷體" w:hAnsi="Times New Roman" w:hint="eastAsia"/>
          <w:b/>
          <w:szCs w:val="24"/>
          <w:u w:val="single"/>
        </w:rPr>
        <w:t>）</w:t>
      </w:r>
      <w:r w:rsidR="000722ED">
        <w:rPr>
          <w:rFonts w:ascii="Times New Roman" w:eastAsia="標楷體" w:hAnsi="Times New Roman" w:hint="eastAsia"/>
          <w:szCs w:val="24"/>
        </w:rPr>
        <w:t>專業性</w:t>
      </w:r>
      <w:r w:rsidR="008A3B4D">
        <w:rPr>
          <w:rFonts w:ascii="Times New Roman" w:eastAsia="標楷體" w:hAnsi="Times New Roman" w:hint="eastAsia"/>
          <w:szCs w:val="24"/>
        </w:rPr>
        <w:t>的</w:t>
      </w:r>
      <w:r w:rsidR="000722ED">
        <w:rPr>
          <w:rFonts w:ascii="Times New Roman" w:eastAsia="標楷體" w:hAnsi="Times New Roman" w:hint="eastAsia"/>
          <w:szCs w:val="24"/>
        </w:rPr>
        <w:t>評量因素及支給專業加給</w:t>
      </w:r>
      <w:r w:rsidR="008A3B4D">
        <w:rPr>
          <w:rFonts w:ascii="Times New Roman" w:eastAsia="標楷體" w:hAnsi="Times New Roman" w:hint="eastAsia"/>
          <w:szCs w:val="24"/>
        </w:rPr>
        <w:t>之</w:t>
      </w:r>
      <w:r w:rsidR="000722ED">
        <w:rPr>
          <w:rFonts w:ascii="Times New Roman" w:eastAsia="標楷體" w:hAnsi="Times New Roman" w:hint="eastAsia"/>
          <w:szCs w:val="24"/>
        </w:rPr>
        <w:t>參考架構，如表</w:t>
      </w:r>
      <w:r w:rsidR="000722ED">
        <w:rPr>
          <w:rFonts w:ascii="Times New Roman" w:eastAsia="標楷體" w:hAnsi="Times New Roman" w:hint="eastAsia"/>
          <w:szCs w:val="24"/>
        </w:rPr>
        <w:t>1</w:t>
      </w:r>
      <w:r w:rsidR="000722ED">
        <w:rPr>
          <w:rFonts w:ascii="Times New Roman" w:eastAsia="標楷體" w:hAnsi="Times New Roman" w:hint="eastAsia"/>
          <w:szCs w:val="24"/>
        </w:rPr>
        <w:t>：</w:t>
      </w:r>
    </w:p>
    <w:p w:rsidR="00615081" w:rsidRPr="006A287D" w:rsidRDefault="008A3B4D" w:rsidP="006A287D">
      <w:pPr>
        <w:pStyle w:val="a8"/>
        <w:numPr>
          <w:ilvl w:val="0"/>
          <w:numId w:val="11"/>
        </w:numPr>
        <w:spacing w:line="300" w:lineRule="auto"/>
        <w:jc w:val="both"/>
        <w:rPr>
          <w:rFonts w:ascii="Times New Roman" w:eastAsia="標楷體" w:hAnsi="Times New Roman"/>
        </w:rPr>
      </w:pPr>
      <w:r>
        <w:rPr>
          <w:rFonts w:ascii="Times New Roman" w:eastAsia="標楷體" w:hAnsi="Times New Roman" w:hint="eastAsia"/>
        </w:rPr>
        <w:t>工作類別專業性程度的</w:t>
      </w:r>
      <w:r w:rsidR="0008543F" w:rsidRPr="006A287D">
        <w:rPr>
          <w:rFonts w:ascii="Times New Roman" w:eastAsia="標楷體" w:hAnsi="Times New Roman"/>
        </w:rPr>
        <w:t>三個評價因素是：人力市場價值與供需程度、工作內容專業</w:t>
      </w:r>
      <w:r>
        <w:rPr>
          <w:rFonts w:ascii="Times New Roman" w:eastAsia="標楷體" w:hAnsi="Times New Roman" w:hint="eastAsia"/>
        </w:rPr>
        <w:t>度</w:t>
      </w:r>
      <w:r w:rsidR="0008543F" w:rsidRPr="006A287D">
        <w:rPr>
          <w:rFonts w:ascii="Times New Roman" w:eastAsia="標楷體" w:hAnsi="Times New Roman"/>
        </w:rPr>
        <w:t>、工作結果影響性。</w:t>
      </w:r>
    </w:p>
    <w:p w:rsidR="00615081" w:rsidRPr="006A287D" w:rsidRDefault="00615081" w:rsidP="006A287D">
      <w:pPr>
        <w:pStyle w:val="a8"/>
        <w:numPr>
          <w:ilvl w:val="0"/>
          <w:numId w:val="11"/>
        </w:numPr>
        <w:spacing w:line="300" w:lineRule="auto"/>
        <w:jc w:val="both"/>
        <w:rPr>
          <w:rFonts w:ascii="Times New Roman" w:eastAsia="標楷體" w:hAnsi="Times New Roman"/>
        </w:rPr>
      </w:pPr>
      <w:r w:rsidRPr="006A287D">
        <w:rPr>
          <w:rFonts w:ascii="Times New Roman" w:eastAsia="標楷體" w:hAnsi="Times New Roman"/>
        </w:rPr>
        <w:t>工作內容專業程度</w:t>
      </w:r>
      <w:r w:rsidR="00B44E1A">
        <w:rPr>
          <w:rFonts w:ascii="Times New Roman" w:eastAsia="標楷體" w:hAnsi="Times New Roman" w:hint="eastAsia"/>
        </w:rPr>
        <w:t>的</w:t>
      </w:r>
      <w:r w:rsidR="00B44E1A">
        <w:rPr>
          <w:rFonts w:ascii="Times New Roman" w:eastAsia="標楷體" w:hAnsi="Times New Roman"/>
        </w:rPr>
        <w:t>評價因素包括五個</w:t>
      </w:r>
      <w:r w:rsidRPr="006A287D">
        <w:rPr>
          <w:rFonts w:ascii="Times New Roman" w:eastAsia="標楷體" w:hAnsi="Times New Roman"/>
        </w:rPr>
        <w:t>：專業教育與證照必要性、特定</w:t>
      </w:r>
      <w:r w:rsidRPr="006A287D">
        <w:rPr>
          <w:rFonts w:ascii="Times New Roman" w:eastAsia="標楷體" w:hAnsi="Times New Roman"/>
        </w:rPr>
        <w:lastRenderedPageBreak/>
        <w:t>體能與心理狀態必要性、專業知能內容變化度、工作運用裁量判斷力和適用工作法規變動度。</w:t>
      </w:r>
    </w:p>
    <w:p w:rsidR="00615081" w:rsidRPr="006A287D" w:rsidRDefault="00615081" w:rsidP="006A287D">
      <w:pPr>
        <w:pStyle w:val="a8"/>
        <w:numPr>
          <w:ilvl w:val="0"/>
          <w:numId w:val="11"/>
        </w:numPr>
        <w:spacing w:line="300" w:lineRule="auto"/>
        <w:jc w:val="both"/>
        <w:rPr>
          <w:rFonts w:ascii="Times New Roman" w:eastAsia="標楷體" w:hAnsi="Times New Roman"/>
        </w:rPr>
      </w:pPr>
      <w:r w:rsidRPr="006A287D">
        <w:rPr>
          <w:rFonts w:ascii="Times New Roman" w:eastAsia="標楷體" w:hAnsi="Times New Roman"/>
        </w:rPr>
        <w:t>工作結果影響</w:t>
      </w:r>
      <w:r w:rsidR="00B44E1A">
        <w:rPr>
          <w:rFonts w:ascii="Times New Roman" w:eastAsia="標楷體" w:hAnsi="Times New Roman" w:hint="eastAsia"/>
        </w:rPr>
        <w:t>性的</w:t>
      </w:r>
      <w:r w:rsidR="00B44E1A">
        <w:rPr>
          <w:rFonts w:ascii="Times New Roman" w:eastAsia="標楷體" w:hAnsi="Times New Roman"/>
        </w:rPr>
        <w:t>評價因素包括兩個</w:t>
      </w:r>
      <w:r w:rsidRPr="006A287D">
        <w:rPr>
          <w:rFonts w:ascii="Times New Roman" w:eastAsia="標楷體" w:hAnsi="Times New Roman"/>
        </w:rPr>
        <w:t>：對民眾福祉影響性</w:t>
      </w:r>
      <w:r w:rsidR="00B44E1A">
        <w:rPr>
          <w:rFonts w:ascii="Times New Roman" w:eastAsia="標楷體" w:hAnsi="Times New Roman" w:hint="eastAsia"/>
        </w:rPr>
        <w:t>、</w:t>
      </w:r>
      <w:r w:rsidRPr="006A287D">
        <w:rPr>
          <w:rFonts w:ascii="Times New Roman" w:eastAsia="標楷體" w:hAnsi="Times New Roman"/>
        </w:rPr>
        <w:t>對機關內部</w:t>
      </w:r>
      <w:r w:rsidR="00446078" w:rsidRPr="0081159C">
        <w:rPr>
          <w:rFonts w:ascii="標楷體" w:eastAsia="標楷體" w:hAnsi="標楷體" w:hint="eastAsia"/>
        </w:rPr>
        <w:t>與其他</w:t>
      </w:r>
      <w:r w:rsidRPr="006A287D">
        <w:rPr>
          <w:rFonts w:ascii="Times New Roman" w:eastAsia="標楷體" w:hAnsi="Times New Roman"/>
        </w:rPr>
        <w:t>影響性。</w:t>
      </w:r>
    </w:p>
    <w:p w:rsidR="00615081" w:rsidRPr="006A287D" w:rsidRDefault="00615081" w:rsidP="006A287D">
      <w:pPr>
        <w:pStyle w:val="a8"/>
        <w:numPr>
          <w:ilvl w:val="0"/>
          <w:numId w:val="11"/>
        </w:numPr>
        <w:spacing w:line="300" w:lineRule="auto"/>
        <w:jc w:val="both"/>
        <w:rPr>
          <w:rFonts w:ascii="Times New Roman" w:eastAsia="標楷體" w:hAnsi="Times New Roman"/>
        </w:rPr>
      </w:pPr>
      <w:r w:rsidRPr="006A287D">
        <w:rPr>
          <w:rFonts w:ascii="Times New Roman" w:eastAsia="標楷體" w:hAnsi="Times New Roman"/>
        </w:rPr>
        <w:t>人力市場價值與供需度</w:t>
      </w:r>
      <w:r w:rsidR="00B44E1A">
        <w:rPr>
          <w:rFonts w:ascii="Times New Roman" w:eastAsia="標楷體" w:hAnsi="Times New Roman" w:hint="eastAsia"/>
        </w:rPr>
        <w:t>的</w:t>
      </w:r>
      <w:r w:rsidR="00B44E1A">
        <w:rPr>
          <w:rFonts w:ascii="Times New Roman" w:eastAsia="標楷體" w:hAnsi="Times New Roman"/>
        </w:rPr>
        <w:t>評價因素包括三個</w:t>
      </w:r>
      <w:r w:rsidRPr="006A287D">
        <w:rPr>
          <w:rFonts w:ascii="Times New Roman" w:eastAsia="標楷體" w:hAnsi="Times New Roman"/>
        </w:rPr>
        <w:t>：工作的市場價值性、新進人力遴選容易度和現有人力流失率。</w:t>
      </w:r>
    </w:p>
    <w:p w:rsidR="008A1EC1" w:rsidRDefault="008A1EC1">
      <w:pPr>
        <w:widowControl/>
        <w:rPr>
          <w:rFonts w:ascii="Times New Roman" w:eastAsia="標楷體" w:hAnsi="Times New Roman"/>
          <w:szCs w:val="24"/>
        </w:rPr>
      </w:pPr>
    </w:p>
    <w:p w:rsidR="00B01121" w:rsidRPr="008A1EC1" w:rsidRDefault="008A1EC1">
      <w:pPr>
        <w:widowControl/>
        <w:rPr>
          <w:rFonts w:ascii="標楷體" w:eastAsia="標楷體" w:hAnsi="標楷體"/>
        </w:rPr>
      </w:pPr>
      <w:r w:rsidRPr="008A1EC1">
        <w:rPr>
          <w:rFonts w:ascii="Times New Roman" w:eastAsia="標楷體" w:hAnsi="Times New Roman" w:hint="eastAsia"/>
          <w:szCs w:val="24"/>
        </w:rPr>
        <w:t>工作類別（或職系）</w:t>
      </w:r>
      <w:r>
        <w:rPr>
          <w:rFonts w:ascii="Times New Roman" w:eastAsia="標楷體" w:hAnsi="Times New Roman" w:hint="eastAsia"/>
          <w:szCs w:val="24"/>
        </w:rPr>
        <w:t>評價因素的簡要說明</w:t>
      </w:r>
    </w:p>
    <w:tbl>
      <w:tblPr>
        <w:tblStyle w:val="a3"/>
        <w:tblW w:w="9039" w:type="dxa"/>
        <w:tblLook w:val="04A0" w:firstRow="1" w:lastRow="0" w:firstColumn="1" w:lastColumn="0" w:noHBand="0" w:noVBand="1"/>
      </w:tblPr>
      <w:tblGrid>
        <w:gridCol w:w="1668"/>
        <w:gridCol w:w="2622"/>
        <w:gridCol w:w="4749"/>
      </w:tblGrid>
      <w:tr w:rsidR="004F6C03" w:rsidRPr="0081159C" w:rsidTr="001E7958">
        <w:tc>
          <w:tcPr>
            <w:tcW w:w="1668" w:type="dxa"/>
            <w:tcBorders>
              <w:bottom w:val="single" w:sz="4" w:space="0" w:color="auto"/>
            </w:tcBorders>
          </w:tcPr>
          <w:p w:rsidR="004F6C03" w:rsidRPr="0081159C" w:rsidRDefault="004F6C03" w:rsidP="006263CD">
            <w:pPr>
              <w:spacing w:beforeLines="20" w:before="72"/>
              <w:rPr>
                <w:rFonts w:ascii="Times New Roman" w:eastAsia="標楷體" w:hAnsi="Times New Roman" w:cs="Times New Roman"/>
                <w:szCs w:val="24"/>
              </w:rPr>
            </w:pPr>
            <w:r w:rsidRPr="0081159C">
              <w:rPr>
                <w:rFonts w:ascii="Times New Roman" w:eastAsia="標楷體" w:hAnsi="Times New Roman" w:cs="Times New Roman"/>
                <w:szCs w:val="24"/>
              </w:rPr>
              <w:t>評價因素</w:t>
            </w:r>
          </w:p>
        </w:tc>
        <w:tc>
          <w:tcPr>
            <w:tcW w:w="2622" w:type="dxa"/>
            <w:tcBorders>
              <w:bottom w:val="single" w:sz="4" w:space="0" w:color="auto"/>
            </w:tcBorders>
          </w:tcPr>
          <w:p w:rsidR="004F6C03" w:rsidRPr="0081159C" w:rsidRDefault="004F6C03" w:rsidP="006263CD">
            <w:pPr>
              <w:spacing w:beforeLines="20" w:before="72"/>
              <w:rPr>
                <w:rFonts w:ascii="Times New Roman" w:eastAsia="標楷體" w:hAnsi="Times New Roman" w:cs="Times New Roman"/>
                <w:szCs w:val="24"/>
              </w:rPr>
            </w:pPr>
            <w:r w:rsidRPr="0081159C">
              <w:rPr>
                <w:rFonts w:ascii="Times New Roman" w:eastAsia="標楷體" w:hAnsi="Times New Roman" w:cs="Times New Roman"/>
                <w:szCs w:val="24"/>
              </w:rPr>
              <w:t>次構面</w:t>
            </w:r>
          </w:p>
        </w:tc>
        <w:tc>
          <w:tcPr>
            <w:tcW w:w="4749" w:type="dxa"/>
            <w:tcBorders>
              <w:bottom w:val="single" w:sz="4" w:space="0" w:color="auto"/>
            </w:tcBorders>
          </w:tcPr>
          <w:p w:rsidR="004F6C03" w:rsidRPr="0081159C" w:rsidRDefault="004F6C03" w:rsidP="008A1EC1">
            <w:pPr>
              <w:spacing w:beforeLines="20" w:before="72"/>
              <w:rPr>
                <w:rFonts w:ascii="Times New Roman" w:eastAsia="標楷體" w:hAnsi="Times New Roman" w:cs="Times New Roman"/>
                <w:szCs w:val="24"/>
              </w:rPr>
            </w:pPr>
            <w:r>
              <w:rPr>
                <w:rFonts w:ascii="Times New Roman" w:eastAsia="標楷體" w:hAnsi="Times New Roman" w:cs="Times New Roman" w:hint="eastAsia"/>
                <w:szCs w:val="24"/>
              </w:rPr>
              <w:t>意義</w:t>
            </w:r>
          </w:p>
        </w:tc>
      </w:tr>
      <w:tr w:rsidR="004F6C03" w:rsidRPr="0081159C" w:rsidTr="001E7958">
        <w:tc>
          <w:tcPr>
            <w:tcW w:w="1668" w:type="dxa"/>
            <w:tcBorders>
              <w:bottom w:val="nil"/>
            </w:tcBorders>
          </w:tcPr>
          <w:p w:rsidR="004F6C03" w:rsidRPr="0081159C" w:rsidRDefault="004F6C03" w:rsidP="008A1EC1">
            <w:pPr>
              <w:spacing w:beforeLines="50" w:before="180"/>
              <w:rPr>
                <w:rFonts w:ascii="Times New Roman" w:eastAsia="標楷體" w:hAnsi="Times New Roman" w:cs="Times New Roman"/>
                <w:szCs w:val="24"/>
              </w:rPr>
            </w:pPr>
            <w:r w:rsidRPr="0081159C">
              <w:rPr>
                <w:rFonts w:ascii="標楷體" w:eastAsia="標楷體" w:hAnsi="標楷體"/>
              </w:rPr>
              <w:t>工作</w:t>
            </w:r>
            <w:r w:rsidRPr="0081159C">
              <w:rPr>
                <w:rFonts w:ascii="標楷體" w:eastAsia="標楷體" w:hAnsi="標楷體" w:hint="eastAsia"/>
              </w:rPr>
              <w:t>內容</w:t>
            </w:r>
            <w:r w:rsidRPr="0081159C">
              <w:rPr>
                <w:rFonts w:ascii="標楷體" w:eastAsia="標楷體" w:hAnsi="標楷體"/>
              </w:rPr>
              <w:t>專業</w:t>
            </w:r>
            <w:r w:rsidR="001E7958" w:rsidRPr="0081159C">
              <w:rPr>
                <w:rFonts w:ascii="標楷體" w:eastAsia="標楷體" w:hAnsi="標楷體"/>
              </w:rPr>
              <w:t>程度</w:t>
            </w:r>
          </w:p>
        </w:tc>
        <w:tc>
          <w:tcPr>
            <w:tcW w:w="2622" w:type="dxa"/>
            <w:tcBorders>
              <w:bottom w:val="nil"/>
            </w:tcBorders>
          </w:tcPr>
          <w:p w:rsidR="004F6C03" w:rsidRPr="0081159C" w:rsidRDefault="004F6C03" w:rsidP="008A1EC1">
            <w:pPr>
              <w:spacing w:beforeLines="50" w:before="180"/>
              <w:rPr>
                <w:rFonts w:ascii="Times New Roman" w:eastAsia="標楷體" w:hAnsi="Times New Roman" w:cs="Times New Roman"/>
                <w:szCs w:val="24"/>
              </w:rPr>
            </w:pPr>
            <w:r w:rsidRPr="0081159C">
              <w:rPr>
                <w:rFonts w:ascii="Times New Roman" w:eastAsia="標楷體" w:hAnsi="Times New Roman" w:cs="Times New Roman"/>
                <w:szCs w:val="24"/>
              </w:rPr>
              <w:t>專業教育</w:t>
            </w:r>
            <w:r w:rsidRPr="0081159C">
              <w:rPr>
                <w:rFonts w:ascii="Times New Roman" w:eastAsia="標楷體" w:hAnsi="Times New Roman" w:cs="Times New Roman" w:hint="eastAsia"/>
                <w:szCs w:val="24"/>
              </w:rPr>
              <w:t>與證照</w:t>
            </w:r>
            <w:r w:rsidRPr="0081159C">
              <w:rPr>
                <w:rFonts w:ascii="Times New Roman" w:eastAsia="標楷體" w:hAnsi="Times New Roman" w:cs="Times New Roman"/>
                <w:szCs w:val="24"/>
              </w:rPr>
              <w:t>必要性</w:t>
            </w:r>
          </w:p>
        </w:tc>
        <w:tc>
          <w:tcPr>
            <w:tcW w:w="4749" w:type="dxa"/>
            <w:tcBorders>
              <w:bottom w:val="nil"/>
            </w:tcBorders>
          </w:tcPr>
          <w:p w:rsidR="004F6C03" w:rsidRPr="0081159C" w:rsidRDefault="00B07464" w:rsidP="008A1EC1">
            <w:pPr>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指工作需具備高等教育學位、正式專業</w:t>
            </w:r>
            <w:r w:rsidR="001E7958">
              <w:rPr>
                <w:rFonts w:ascii="Times New Roman" w:eastAsia="標楷體" w:hAnsi="Times New Roman" w:cs="Times New Roman" w:hint="eastAsia"/>
                <w:szCs w:val="24"/>
              </w:rPr>
              <w:t>訓練或取得國家專業證照的程度。</w:t>
            </w:r>
          </w:p>
        </w:tc>
      </w:tr>
      <w:tr w:rsidR="004F6C03" w:rsidRPr="0081159C" w:rsidTr="001E7958">
        <w:tc>
          <w:tcPr>
            <w:tcW w:w="1668" w:type="dxa"/>
            <w:tcBorders>
              <w:top w:val="nil"/>
              <w:bottom w:val="nil"/>
            </w:tcBorders>
          </w:tcPr>
          <w:p w:rsidR="004F6C03" w:rsidRPr="0081159C" w:rsidRDefault="004F6C03" w:rsidP="006263CD">
            <w:pPr>
              <w:widowControl/>
              <w:spacing w:beforeLines="20" w:before="72"/>
              <w:rPr>
                <w:rFonts w:ascii="標楷體" w:eastAsia="標楷體" w:hAnsi="標楷體"/>
              </w:rPr>
            </w:pPr>
          </w:p>
        </w:tc>
        <w:tc>
          <w:tcPr>
            <w:tcW w:w="2622" w:type="dxa"/>
            <w:tcBorders>
              <w:top w:val="single" w:sz="4" w:space="0" w:color="auto"/>
              <w:bottom w:val="nil"/>
            </w:tcBorders>
          </w:tcPr>
          <w:p w:rsidR="004F6C03" w:rsidRPr="0081159C" w:rsidRDefault="004F6C03" w:rsidP="006263CD">
            <w:pPr>
              <w:widowControl/>
              <w:spacing w:beforeLines="20" w:before="72"/>
              <w:rPr>
                <w:rFonts w:ascii="標楷體" w:eastAsia="標楷體" w:hAnsi="標楷體"/>
              </w:rPr>
            </w:pPr>
            <w:r w:rsidRPr="0081159C">
              <w:rPr>
                <w:rFonts w:ascii="標楷體" w:eastAsia="標楷體" w:hAnsi="標楷體" w:hint="eastAsia"/>
              </w:rPr>
              <w:t>特定</w:t>
            </w:r>
            <w:r w:rsidRPr="0081159C">
              <w:rPr>
                <w:rFonts w:ascii="標楷體" w:eastAsia="標楷體" w:hAnsi="標楷體"/>
              </w:rPr>
              <w:t>體能</w:t>
            </w:r>
            <w:r w:rsidRPr="0081159C">
              <w:rPr>
                <w:rFonts w:ascii="標楷體" w:eastAsia="標楷體" w:hAnsi="標楷體" w:hint="eastAsia"/>
              </w:rPr>
              <w:t>與心理狀態</w:t>
            </w:r>
            <w:r w:rsidRPr="0081159C">
              <w:rPr>
                <w:rFonts w:ascii="標楷體" w:eastAsia="標楷體" w:hAnsi="標楷體"/>
              </w:rPr>
              <w:t>必</w:t>
            </w:r>
            <w:r w:rsidR="001E7958" w:rsidRPr="0081159C">
              <w:rPr>
                <w:rFonts w:ascii="標楷體" w:eastAsia="標楷體" w:hAnsi="標楷體"/>
              </w:rPr>
              <w:t>要性</w:t>
            </w:r>
          </w:p>
        </w:tc>
        <w:tc>
          <w:tcPr>
            <w:tcW w:w="4749" w:type="dxa"/>
            <w:tcBorders>
              <w:top w:val="single" w:sz="4" w:space="0" w:color="auto"/>
              <w:bottom w:val="nil"/>
            </w:tcBorders>
          </w:tcPr>
          <w:p w:rsidR="004F6C03" w:rsidRPr="0081159C" w:rsidRDefault="009C2AE5" w:rsidP="006263CD">
            <w:pPr>
              <w:widowControl/>
              <w:spacing w:beforeLines="20" w:before="72"/>
              <w:rPr>
                <w:rFonts w:ascii="標楷體" w:eastAsia="標楷體" w:hAnsi="標楷體"/>
              </w:rPr>
            </w:pPr>
            <w:r>
              <w:rPr>
                <w:rFonts w:ascii="標楷體" w:eastAsia="標楷體" w:hAnsi="標楷體" w:hint="eastAsia"/>
              </w:rPr>
              <w:t>指</w:t>
            </w:r>
            <w:r w:rsidR="001E7958">
              <w:rPr>
                <w:rFonts w:ascii="Times New Roman" w:eastAsia="標楷體" w:hAnsi="Times New Roman" w:cs="Times New Roman" w:hint="eastAsia"/>
                <w:szCs w:val="24"/>
              </w:rPr>
              <w:t>工作</w:t>
            </w:r>
            <w:r>
              <w:rPr>
                <w:rFonts w:ascii="標楷體" w:eastAsia="標楷體" w:hAnsi="標楷體" w:hint="eastAsia"/>
              </w:rPr>
              <w:t>需</w:t>
            </w:r>
            <w:r w:rsidR="001E7958">
              <w:rPr>
                <w:rFonts w:ascii="標楷體" w:eastAsia="標楷體" w:hAnsi="標楷體" w:hint="eastAsia"/>
              </w:rPr>
              <w:t>要求特殊</w:t>
            </w:r>
            <w:r w:rsidR="004F6C03">
              <w:rPr>
                <w:rFonts w:ascii="標楷體" w:eastAsia="標楷體" w:hAnsi="標楷體" w:hint="eastAsia"/>
              </w:rPr>
              <w:t>體能標準及特定心理狀態（如抗壓）的程度。</w:t>
            </w:r>
          </w:p>
        </w:tc>
      </w:tr>
      <w:tr w:rsidR="004F6C03" w:rsidRPr="0081159C" w:rsidTr="001E7958">
        <w:tc>
          <w:tcPr>
            <w:tcW w:w="1668" w:type="dxa"/>
            <w:tcBorders>
              <w:top w:val="nil"/>
              <w:bottom w:val="nil"/>
            </w:tcBorders>
          </w:tcPr>
          <w:p w:rsidR="004F6C03" w:rsidRPr="0052659A" w:rsidRDefault="004F6C03" w:rsidP="006263CD">
            <w:pPr>
              <w:spacing w:beforeLines="20" w:before="72"/>
              <w:rPr>
                <w:rFonts w:ascii="Times New Roman" w:eastAsia="標楷體" w:hAnsi="Times New Roman" w:cs="Times New Roman"/>
                <w:szCs w:val="24"/>
              </w:rPr>
            </w:pPr>
          </w:p>
        </w:tc>
        <w:tc>
          <w:tcPr>
            <w:tcW w:w="2622" w:type="dxa"/>
            <w:tcBorders>
              <w:bottom w:val="nil"/>
            </w:tcBorders>
          </w:tcPr>
          <w:p w:rsidR="004F6C03" w:rsidRPr="0081159C" w:rsidRDefault="004F6C03" w:rsidP="006263CD">
            <w:pPr>
              <w:spacing w:beforeLines="20" w:before="72"/>
              <w:rPr>
                <w:rFonts w:ascii="Times New Roman" w:eastAsia="標楷體" w:hAnsi="Times New Roman" w:cs="Times New Roman"/>
                <w:szCs w:val="24"/>
              </w:rPr>
            </w:pPr>
            <w:r w:rsidRPr="0081159C">
              <w:rPr>
                <w:rFonts w:ascii="Times New Roman" w:eastAsia="標楷體" w:hAnsi="Times New Roman" w:cs="Times New Roman"/>
                <w:szCs w:val="24"/>
              </w:rPr>
              <w:t>專業知能內容變化度</w:t>
            </w:r>
          </w:p>
        </w:tc>
        <w:tc>
          <w:tcPr>
            <w:tcW w:w="4749" w:type="dxa"/>
            <w:tcBorders>
              <w:bottom w:val="nil"/>
            </w:tcBorders>
          </w:tcPr>
          <w:p w:rsidR="004F6C03" w:rsidRPr="0081159C" w:rsidRDefault="009C2AE5" w:rsidP="006263CD">
            <w:pPr>
              <w:spacing w:beforeLines="20" w:before="72"/>
              <w:rPr>
                <w:rFonts w:ascii="Times New Roman" w:eastAsia="標楷體" w:hAnsi="Times New Roman" w:cs="Times New Roman"/>
                <w:szCs w:val="24"/>
              </w:rPr>
            </w:pPr>
            <w:r>
              <w:rPr>
                <w:rFonts w:ascii="Times New Roman" w:eastAsia="標楷體" w:hAnsi="Times New Roman" w:cs="Times New Roman" w:hint="eastAsia"/>
                <w:szCs w:val="24"/>
              </w:rPr>
              <w:t>指</w:t>
            </w:r>
            <w:r w:rsidR="004F6C03">
              <w:rPr>
                <w:rFonts w:ascii="Times New Roman" w:eastAsia="標楷體" w:hAnsi="Times New Roman" w:cs="Times New Roman" w:hint="eastAsia"/>
                <w:szCs w:val="24"/>
              </w:rPr>
              <w:t>工作</w:t>
            </w:r>
            <w:r w:rsidR="001E7958">
              <w:rPr>
                <w:rFonts w:ascii="Times New Roman" w:eastAsia="標楷體" w:hAnsi="Times New Roman" w:cs="Times New Roman" w:hint="eastAsia"/>
                <w:szCs w:val="24"/>
              </w:rPr>
              <w:t>內容需不斷學習新的專業知識、學理或</w:t>
            </w:r>
            <w:r w:rsidR="004F6C03">
              <w:rPr>
                <w:rFonts w:ascii="Times New Roman" w:eastAsia="標楷體" w:hAnsi="Times New Roman" w:cs="Times New Roman" w:hint="eastAsia"/>
                <w:szCs w:val="24"/>
              </w:rPr>
              <w:t>技術</w:t>
            </w:r>
            <w:r w:rsidR="001E7958">
              <w:rPr>
                <w:rFonts w:ascii="Times New Roman" w:eastAsia="標楷體" w:hAnsi="Times New Roman" w:cs="Times New Roman" w:hint="eastAsia"/>
                <w:szCs w:val="24"/>
              </w:rPr>
              <w:t>性</w:t>
            </w:r>
            <w:r w:rsidR="004F6C03">
              <w:rPr>
                <w:rFonts w:ascii="Times New Roman" w:eastAsia="標楷體" w:hAnsi="Times New Roman" w:cs="Times New Roman" w:hint="eastAsia"/>
                <w:szCs w:val="24"/>
              </w:rPr>
              <w:t>能力等程度。</w:t>
            </w:r>
          </w:p>
        </w:tc>
      </w:tr>
      <w:tr w:rsidR="004F6C03" w:rsidRPr="0081159C" w:rsidTr="001E7958">
        <w:tc>
          <w:tcPr>
            <w:tcW w:w="1668" w:type="dxa"/>
            <w:tcBorders>
              <w:top w:val="nil"/>
              <w:bottom w:val="nil"/>
            </w:tcBorders>
          </w:tcPr>
          <w:p w:rsidR="004F6C03" w:rsidRPr="0081159C" w:rsidRDefault="004F6C03" w:rsidP="006263CD">
            <w:pPr>
              <w:spacing w:beforeLines="20" w:before="72"/>
              <w:rPr>
                <w:rFonts w:ascii="Times New Roman" w:eastAsia="標楷體" w:hAnsi="Times New Roman" w:cs="Times New Roman"/>
                <w:szCs w:val="24"/>
              </w:rPr>
            </w:pPr>
          </w:p>
        </w:tc>
        <w:tc>
          <w:tcPr>
            <w:tcW w:w="2622" w:type="dxa"/>
            <w:tcBorders>
              <w:bottom w:val="nil"/>
            </w:tcBorders>
          </w:tcPr>
          <w:p w:rsidR="004F6C03" w:rsidRPr="0081159C" w:rsidRDefault="004F6C03" w:rsidP="006263CD">
            <w:pPr>
              <w:spacing w:beforeLines="20" w:before="72"/>
              <w:rPr>
                <w:rFonts w:ascii="Times New Roman" w:eastAsia="標楷體" w:hAnsi="Times New Roman" w:cs="Times New Roman"/>
                <w:szCs w:val="24"/>
              </w:rPr>
            </w:pPr>
            <w:r w:rsidRPr="0081159C">
              <w:rPr>
                <w:rFonts w:ascii="Times New Roman" w:eastAsia="標楷體" w:hAnsi="Times New Roman" w:cs="Times New Roman" w:hint="eastAsia"/>
                <w:szCs w:val="24"/>
              </w:rPr>
              <w:t>工作運用</w:t>
            </w:r>
            <w:r>
              <w:rPr>
                <w:rFonts w:ascii="Times New Roman" w:eastAsia="標楷體" w:hAnsi="Times New Roman" w:cs="Times New Roman" w:hint="eastAsia"/>
                <w:szCs w:val="24"/>
              </w:rPr>
              <w:t>裁量</w:t>
            </w:r>
            <w:r w:rsidRPr="0081159C">
              <w:rPr>
                <w:rFonts w:ascii="Times New Roman" w:eastAsia="標楷體" w:hAnsi="Times New Roman" w:cs="Times New Roman"/>
                <w:szCs w:val="24"/>
              </w:rPr>
              <w:t>判斷</w:t>
            </w:r>
            <w:r w:rsidRPr="0081159C">
              <w:rPr>
                <w:rFonts w:ascii="Times New Roman" w:eastAsia="標楷體" w:hAnsi="Times New Roman" w:cs="Times New Roman" w:hint="eastAsia"/>
                <w:szCs w:val="24"/>
              </w:rPr>
              <w:t>力</w:t>
            </w:r>
          </w:p>
        </w:tc>
        <w:tc>
          <w:tcPr>
            <w:tcW w:w="4749" w:type="dxa"/>
            <w:tcBorders>
              <w:bottom w:val="nil"/>
            </w:tcBorders>
          </w:tcPr>
          <w:p w:rsidR="004F6C03" w:rsidRPr="0081159C" w:rsidRDefault="009C2AE5" w:rsidP="006263CD">
            <w:pPr>
              <w:spacing w:beforeLines="20" w:before="72"/>
              <w:rPr>
                <w:rFonts w:ascii="Times New Roman" w:eastAsia="標楷體" w:hAnsi="Times New Roman" w:cs="Times New Roman"/>
                <w:szCs w:val="24"/>
              </w:rPr>
            </w:pPr>
            <w:r>
              <w:rPr>
                <w:rFonts w:ascii="Times New Roman" w:eastAsia="標楷體" w:hAnsi="Times New Roman" w:cs="Times New Roman" w:hint="eastAsia"/>
                <w:szCs w:val="24"/>
              </w:rPr>
              <w:t>指</w:t>
            </w:r>
            <w:r w:rsidR="004F6C03">
              <w:rPr>
                <w:rFonts w:ascii="Times New Roman" w:eastAsia="標楷體" w:hAnsi="Times New Roman" w:cs="Times New Roman" w:hint="eastAsia"/>
                <w:szCs w:val="24"/>
              </w:rPr>
              <w:t>工作</w:t>
            </w:r>
            <w:r w:rsidR="001E7958">
              <w:rPr>
                <w:rFonts w:ascii="Times New Roman" w:eastAsia="標楷體" w:hAnsi="Times New Roman" w:cs="Times New Roman" w:hint="eastAsia"/>
                <w:szCs w:val="24"/>
              </w:rPr>
              <w:t>過程需仰賴個人專業判斷，較無相關案例或標準作業程序可</w:t>
            </w:r>
            <w:r w:rsidR="00B07464">
              <w:rPr>
                <w:rFonts w:ascii="Times New Roman" w:eastAsia="標楷體" w:hAnsi="Times New Roman" w:cs="Times New Roman" w:hint="eastAsia"/>
                <w:szCs w:val="24"/>
              </w:rPr>
              <w:t>依循</w:t>
            </w:r>
            <w:r w:rsidR="004F6C03">
              <w:rPr>
                <w:rFonts w:ascii="Times New Roman" w:eastAsia="標楷體" w:hAnsi="Times New Roman" w:cs="Times New Roman" w:hint="eastAsia"/>
                <w:szCs w:val="24"/>
              </w:rPr>
              <w:t>的程度。</w:t>
            </w:r>
          </w:p>
        </w:tc>
      </w:tr>
      <w:tr w:rsidR="004F6C03" w:rsidRPr="0081159C" w:rsidTr="001E7958">
        <w:tc>
          <w:tcPr>
            <w:tcW w:w="1668" w:type="dxa"/>
            <w:tcBorders>
              <w:top w:val="nil"/>
              <w:bottom w:val="nil"/>
            </w:tcBorders>
          </w:tcPr>
          <w:p w:rsidR="004F6C03" w:rsidRPr="0081159C" w:rsidRDefault="004F6C03" w:rsidP="006263CD">
            <w:pPr>
              <w:spacing w:beforeLines="20" w:before="72"/>
              <w:rPr>
                <w:rFonts w:ascii="Times New Roman" w:eastAsia="標楷體" w:hAnsi="Times New Roman" w:cs="Times New Roman"/>
                <w:szCs w:val="24"/>
              </w:rPr>
            </w:pPr>
          </w:p>
        </w:tc>
        <w:tc>
          <w:tcPr>
            <w:tcW w:w="2622" w:type="dxa"/>
            <w:tcBorders>
              <w:bottom w:val="nil"/>
            </w:tcBorders>
          </w:tcPr>
          <w:p w:rsidR="004F6C03" w:rsidRPr="0081159C" w:rsidRDefault="004F6C03" w:rsidP="006263CD">
            <w:pPr>
              <w:spacing w:beforeLines="20" w:before="72"/>
              <w:rPr>
                <w:rFonts w:ascii="Times New Roman" w:eastAsia="標楷體" w:hAnsi="Times New Roman" w:cs="Times New Roman"/>
                <w:szCs w:val="24"/>
              </w:rPr>
            </w:pPr>
            <w:r w:rsidRPr="0081159C">
              <w:rPr>
                <w:rFonts w:ascii="Times New Roman" w:eastAsia="標楷體" w:hAnsi="Times New Roman" w:cs="Times New Roman" w:hint="eastAsia"/>
                <w:szCs w:val="24"/>
              </w:rPr>
              <w:t>適用</w:t>
            </w:r>
            <w:r w:rsidRPr="0081159C">
              <w:rPr>
                <w:rFonts w:ascii="Times New Roman" w:eastAsia="標楷體" w:hAnsi="Times New Roman" w:cs="Times New Roman"/>
                <w:szCs w:val="24"/>
              </w:rPr>
              <w:t>工作法規</w:t>
            </w:r>
            <w:r w:rsidRPr="0081159C">
              <w:rPr>
                <w:rFonts w:ascii="Times New Roman" w:eastAsia="標楷體" w:hAnsi="Times New Roman" w:cs="Times New Roman" w:hint="eastAsia"/>
                <w:szCs w:val="24"/>
              </w:rPr>
              <w:t>變動度</w:t>
            </w:r>
          </w:p>
        </w:tc>
        <w:tc>
          <w:tcPr>
            <w:tcW w:w="4749" w:type="dxa"/>
            <w:tcBorders>
              <w:bottom w:val="nil"/>
            </w:tcBorders>
          </w:tcPr>
          <w:p w:rsidR="004F6C03" w:rsidRPr="0081159C" w:rsidRDefault="009C2AE5" w:rsidP="006263CD">
            <w:pPr>
              <w:spacing w:beforeLines="20" w:before="72"/>
              <w:rPr>
                <w:rFonts w:ascii="Times New Roman" w:eastAsia="標楷體" w:hAnsi="Times New Roman" w:cs="Times New Roman"/>
                <w:szCs w:val="24"/>
              </w:rPr>
            </w:pPr>
            <w:r>
              <w:rPr>
                <w:rFonts w:ascii="Times New Roman" w:eastAsia="標楷體" w:hAnsi="Times New Roman" w:cs="Times New Roman" w:hint="eastAsia"/>
                <w:szCs w:val="24"/>
              </w:rPr>
              <w:t>指工作所適用的相關法律</w:t>
            </w:r>
            <w:r w:rsidR="00E5211B">
              <w:rPr>
                <w:rFonts w:ascii="Times New Roman" w:eastAsia="標楷體" w:hAnsi="Times New Roman" w:cs="Times New Roman" w:hint="eastAsia"/>
                <w:szCs w:val="24"/>
              </w:rPr>
              <w:t>或</w:t>
            </w:r>
            <w:r>
              <w:rPr>
                <w:rFonts w:ascii="Times New Roman" w:eastAsia="標楷體" w:hAnsi="Times New Roman" w:cs="Times New Roman" w:hint="eastAsia"/>
                <w:szCs w:val="24"/>
              </w:rPr>
              <w:t>命令等經常</w:t>
            </w:r>
            <w:r w:rsidR="00E5211B">
              <w:rPr>
                <w:rFonts w:ascii="Times New Roman" w:eastAsia="標楷體" w:hAnsi="Times New Roman" w:cs="Times New Roman" w:hint="eastAsia"/>
                <w:szCs w:val="24"/>
              </w:rPr>
              <w:t>有</w:t>
            </w:r>
            <w:r>
              <w:rPr>
                <w:rFonts w:ascii="Times New Roman" w:eastAsia="標楷體" w:hAnsi="Times New Roman" w:cs="Times New Roman" w:hint="eastAsia"/>
                <w:szCs w:val="24"/>
              </w:rPr>
              <w:t>大幅更動的程度。</w:t>
            </w:r>
          </w:p>
        </w:tc>
      </w:tr>
      <w:tr w:rsidR="004F6C03" w:rsidRPr="0081159C" w:rsidTr="001E7958">
        <w:tc>
          <w:tcPr>
            <w:tcW w:w="1668" w:type="dxa"/>
            <w:tcBorders>
              <w:top w:val="single" w:sz="4" w:space="0" w:color="auto"/>
              <w:bottom w:val="nil"/>
            </w:tcBorders>
          </w:tcPr>
          <w:p w:rsidR="004F6C03" w:rsidRPr="0081159C" w:rsidRDefault="004F6C03" w:rsidP="008A1EC1">
            <w:pPr>
              <w:spacing w:beforeLines="50" w:before="180"/>
              <w:rPr>
                <w:rFonts w:ascii="Times New Roman" w:eastAsia="標楷體" w:hAnsi="Times New Roman" w:cs="Times New Roman"/>
                <w:szCs w:val="24"/>
              </w:rPr>
            </w:pPr>
            <w:r w:rsidRPr="0081159C">
              <w:rPr>
                <w:rFonts w:ascii="標楷體" w:eastAsia="標楷體" w:hAnsi="標楷體" w:hint="eastAsia"/>
              </w:rPr>
              <w:t>工作結果影響</w:t>
            </w:r>
            <w:r w:rsidR="001E7958" w:rsidRPr="0081159C">
              <w:rPr>
                <w:rFonts w:ascii="標楷體" w:eastAsia="標楷體" w:hAnsi="標楷體" w:hint="eastAsia"/>
              </w:rPr>
              <w:t>性</w:t>
            </w:r>
          </w:p>
        </w:tc>
        <w:tc>
          <w:tcPr>
            <w:tcW w:w="2622" w:type="dxa"/>
            <w:tcBorders>
              <w:bottom w:val="nil"/>
            </w:tcBorders>
          </w:tcPr>
          <w:p w:rsidR="004F6C03" w:rsidRPr="0081159C" w:rsidRDefault="004F6C03" w:rsidP="008A1EC1">
            <w:pPr>
              <w:spacing w:beforeLines="50" w:before="180"/>
              <w:rPr>
                <w:rFonts w:ascii="Times New Roman" w:eastAsia="標楷體" w:hAnsi="Times New Roman" w:cs="Times New Roman"/>
                <w:szCs w:val="24"/>
              </w:rPr>
            </w:pPr>
            <w:r w:rsidRPr="0081159C">
              <w:rPr>
                <w:rFonts w:ascii="Times New Roman" w:eastAsia="標楷體" w:hAnsi="Times New Roman" w:cs="Times New Roman"/>
                <w:szCs w:val="24"/>
              </w:rPr>
              <w:t>對民眾</w:t>
            </w:r>
            <w:r w:rsidRPr="0081159C">
              <w:rPr>
                <w:rFonts w:ascii="標楷體" w:eastAsia="標楷體" w:hAnsi="標楷體" w:hint="eastAsia"/>
              </w:rPr>
              <w:t>福祉</w:t>
            </w:r>
            <w:r w:rsidRPr="0081159C">
              <w:rPr>
                <w:rFonts w:ascii="Times New Roman" w:eastAsia="標楷體" w:hAnsi="Times New Roman" w:cs="Times New Roman"/>
                <w:szCs w:val="24"/>
              </w:rPr>
              <w:t>影響性</w:t>
            </w:r>
          </w:p>
        </w:tc>
        <w:tc>
          <w:tcPr>
            <w:tcW w:w="4749" w:type="dxa"/>
            <w:tcBorders>
              <w:bottom w:val="nil"/>
            </w:tcBorders>
          </w:tcPr>
          <w:p w:rsidR="004F6C03" w:rsidRPr="0081159C" w:rsidRDefault="009C2AE5" w:rsidP="008A1EC1">
            <w:pPr>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指工作</w:t>
            </w:r>
            <w:r w:rsidR="00E5211B">
              <w:rPr>
                <w:rFonts w:ascii="Times New Roman" w:eastAsia="標楷體" w:hAnsi="Times New Roman" w:cs="Times New Roman" w:hint="eastAsia"/>
                <w:szCs w:val="24"/>
              </w:rPr>
              <w:t>內容</w:t>
            </w:r>
            <w:r>
              <w:rPr>
                <w:rFonts w:ascii="Times New Roman" w:eastAsia="標楷體" w:hAnsi="Times New Roman" w:cs="Times New Roman" w:hint="eastAsia"/>
                <w:szCs w:val="24"/>
              </w:rPr>
              <w:t>與民眾生命財產安全、國家</w:t>
            </w:r>
            <w:r w:rsidR="00E5211B">
              <w:rPr>
                <w:rFonts w:ascii="Times New Roman" w:eastAsia="標楷體" w:hAnsi="Times New Roman" w:cs="Times New Roman" w:hint="eastAsia"/>
                <w:szCs w:val="24"/>
              </w:rPr>
              <w:t>民眾</w:t>
            </w:r>
            <w:r>
              <w:rPr>
                <w:rFonts w:ascii="Times New Roman" w:eastAsia="標楷體" w:hAnsi="Times New Roman" w:cs="Times New Roman" w:hint="eastAsia"/>
                <w:szCs w:val="24"/>
              </w:rPr>
              <w:t>重大福祉等直接相關的程度。</w:t>
            </w:r>
          </w:p>
        </w:tc>
      </w:tr>
      <w:tr w:rsidR="004F6C03" w:rsidRPr="0081159C" w:rsidTr="001E7958">
        <w:tc>
          <w:tcPr>
            <w:tcW w:w="1668" w:type="dxa"/>
            <w:tcBorders>
              <w:top w:val="nil"/>
              <w:bottom w:val="nil"/>
            </w:tcBorders>
          </w:tcPr>
          <w:p w:rsidR="004F6C03" w:rsidRPr="0081159C" w:rsidRDefault="004F6C03" w:rsidP="006263CD">
            <w:pPr>
              <w:widowControl/>
              <w:spacing w:beforeLines="20" w:before="72"/>
              <w:rPr>
                <w:rFonts w:ascii="標楷體" w:eastAsia="標楷體" w:hAnsi="標楷體"/>
              </w:rPr>
            </w:pPr>
          </w:p>
        </w:tc>
        <w:tc>
          <w:tcPr>
            <w:tcW w:w="2622" w:type="dxa"/>
            <w:tcBorders>
              <w:bottom w:val="nil"/>
            </w:tcBorders>
          </w:tcPr>
          <w:p w:rsidR="004F6C03" w:rsidRPr="0081159C" w:rsidRDefault="004F6C03" w:rsidP="006263CD">
            <w:pPr>
              <w:widowControl/>
              <w:spacing w:beforeLines="20" w:before="72"/>
              <w:rPr>
                <w:rFonts w:ascii="標楷體" w:eastAsia="標楷體" w:hAnsi="標楷體"/>
              </w:rPr>
            </w:pPr>
            <w:r w:rsidRPr="0081159C">
              <w:rPr>
                <w:rFonts w:ascii="標楷體" w:eastAsia="標楷體" w:hAnsi="標楷體" w:hint="eastAsia"/>
              </w:rPr>
              <w:t>對機關內部</w:t>
            </w:r>
            <w:r w:rsidR="00E5211B">
              <w:rPr>
                <w:rFonts w:ascii="標楷體" w:eastAsia="標楷體" w:hAnsi="標楷體" w:hint="eastAsia"/>
              </w:rPr>
              <w:t>及其他</w:t>
            </w:r>
            <w:r w:rsidRPr="0081159C">
              <w:rPr>
                <w:rFonts w:ascii="標楷體" w:eastAsia="標楷體" w:hAnsi="標楷體" w:hint="eastAsia"/>
              </w:rPr>
              <w:t>影響</w:t>
            </w:r>
            <w:r>
              <w:rPr>
                <w:rFonts w:ascii="標楷體" w:eastAsia="標楷體" w:hAnsi="標楷體" w:hint="eastAsia"/>
              </w:rPr>
              <w:t>性</w:t>
            </w:r>
          </w:p>
        </w:tc>
        <w:tc>
          <w:tcPr>
            <w:tcW w:w="4749" w:type="dxa"/>
            <w:tcBorders>
              <w:bottom w:val="nil"/>
            </w:tcBorders>
          </w:tcPr>
          <w:p w:rsidR="004F6C03" w:rsidRPr="0081159C" w:rsidRDefault="009C2AE5" w:rsidP="006263CD">
            <w:pPr>
              <w:widowControl/>
              <w:spacing w:beforeLines="20" w:before="72"/>
              <w:rPr>
                <w:rFonts w:ascii="標楷體" w:eastAsia="標楷體" w:hAnsi="標楷體"/>
              </w:rPr>
            </w:pPr>
            <w:r>
              <w:rPr>
                <w:rFonts w:ascii="標楷體" w:eastAsia="標楷體" w:hAnsi="標楷體" w:hint="eastAsia"/>
              </w:rPr>
              <w:t>指工作</w:t>
            </w:r>
            <w:r w:rsidR="00E5211B">
              <w:rPr>
                <w:rFonts w:ascii="標楷體" w:eastAsia="標楷體" w:hAnsi="標楷體" w:hint="eastAsia"/>
              </w:rPr>
              <w:t>內容屬於機關內部管理性事務或跨單位協調</w:t>
            </w:r>
            <w:r>
              <w:rPr>
                <w:rFonts w:ascii="標楷體" w:eastAsia="標楷體" w:hAnsi="標楷體" w:hint="eastAsia"/>
              </w:rPr>
              <w:t>聯繫的程度。</w:t>
            </w:r>
          </w:p>
        </w:tc>
      </w:tr>
      <w:tr w:rsidR="004F6C03" w:rsidRPr="0081159C" w:rsidTr="001E7958">
        <w:tc>
          <w:tcPr>
            <w:tcW w:w="1668" w:type="dxa"/>
            <w:tcBorders>
              <w:bottom w:val="nil"/>
            </w:tcBorders>
          </w:tcPr>
          <w:p w:rsidR="004F6C03" w:rsidRPr="0081159C" w:rsidRDefault="004F6C03" w:rsidP="008A1EC1">
            <w:pPr>
              <w:spacing w:beforeLines="50" w:before="180"/>
              <w:rPr>
                <w:rFonts w:ascii="Times New Roman" w:eastAsia="標楷體" w:hAnsi="Times New Roman" w:cs="Times New Roman"/>
                <w:szCs w:val="24"/>
              </w:rPr>
            </w:pPr>
            <w:r w:rsidRPr="0081159C">
              <w:rPr>
                <w:rFonts w:ascii="Times New Roman" w:eastAsia="標楷體" w:hAnsi="Times New Roman" w:cs="Times New Roman"/>
                <w:szCs w:val="24"/>
              </w:rPr>
              <w:t>人力</w:t>
            </w:r>
            <w:r>
              <w:rPr>
                <w:rFonts w:ascii="Times New Roman" w:eastAsia="標楷體" w:hAnsi="Times New Roman" w:cs="Times New Roman" w:hint="eastAsia"/>
                <w:szCs w:val="24"/>
              </w:rPr>
              <w:t>市場價值</w:t>
            </w:r>
            <w:r w:rsidR="001E7958">
              <w:rPr>
                <w:rFonts w:ascii="Times New Roman" w:eastAsia="標楷體" w:hAnsi="Times New Roman" w:cs="Times New Roman" w:hint="eastAsia"/>
                <w:szCs w:val="24"/>
              </w:rPr>
              <w:t>與供需度</w:t>
            </w:r>
          </w:p>
        </w:tc>
        <w:tc>
          <w:tcPr>
            <w:tcW w:w="2622" w:type="dxa"/>
            <w:tcBorders>
              <w:bottom w:val="nil"/>
            </w:tcBorders>
          </w:tcPr>
          <w:p w:rsidR="004F6C03" w:rsidRPr="0081159C" w:rsidRDefault="004F6C03" w:rsidP="008A1EC1">
            <w:pPr>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工作的市場價值性</w:t>
            </w:r>
          </w:p>
        </w:tc>
        <w:tc>
          <w:tcPr>
            <w:tcW w:w="4749" w:type="dxa"/>
            <w:tcBorders>
              <w:bottom w:val="nil"/>
            </w:tcBorders>
          </w:tcPr>
          <w:p w:rsidR="004F6C03" w:rsidRPr="0081159C" w:rsidRDefault="009C2AE5" w:rsidP="008A1EC1">
            <w:pPr>
              <w:spacing w:beforeLines="50" w:before="180"/>
              <w:rPr>
                <w:rFonts w:ascii="Times New Roman" w:eastAsia="標楷體" w:hAnsi="Times New Roman" w:cs="Times New Roman"/>
                <w:szCs w:val="24"/>
              </w:rPr>
            </w:pPr>
            <w:r>
              <w:rPr>
                <w:rFonts w:ascii="Times New Roman" w:eastAsia="標楷體" w:hAnsi="Times New Roman" w:cs="Times New Roman" w:hint="eastAsia"/>
                <w:szCs w:val="24"/>
              </w:rPr>
              <w:t>指提供較高薪資水準</w:t>
            </w:r>
            <w:r w:rsidR="008A1EC1">
              <w:rPr>
                <w:rFonts w:ascii="Times New Roman" w:eastAsia="標楷體" w:hAnsi="Times New Roman" w:cs="Times New Roman" w:hint="eastAsia"/>
                <w:szCs w:val="24"/>
              </w:rPr>
              <w:t>，該工作類別方能</w:t>
            </w:r>
            <w:r>
              <w:rPr>
                <w:rFonts w:ascii="Times New Roman" w:eastAsia="標楷體" w:hAnsi="Times New Roman" w:cs="Times New Roman" w:hint="eastAsia"/>
                <w:szCs w:val="24"/>
              </w:rPr>
              <w:t>招募到所需人才的程度。</w:t>
            </w:r>
          </w:p>
        </w:tc>
      </w:tr>
      <w:tr w:rsidR="004F6C03" w:rsidRPr="0081159C" w:rsidTr="001E7958">
        <w:tc>
          <w:tcPr>
            <w:tcW w:w="1668" w:type="dxa"/>
            <w:tcBorders>
              <w:top w:val="nil"/>
              <w:bottom w:val="nil"/>
            </w:tcBorders>
          </w:tcPr>
          <w:p w:rsidR="004F6C03" w:rsidRPr="0081159C" w:rsidRDefault="004F6C03" w:rsidP="006263CD">
            <w:pPr>
              <w:spacing w:beforeLines="20" w:before="72"/>
              <w:rPr>
                <w:rFonts w:ascii="Times New Roman" w:eastAsia="標楷體" w:hAnsi="Times New Roman" w:cs="Times New Roman"/>
                <w:szCs w:val="24"/>
              </w:rPr>
            </w:pPr>
          </w:p>
        </w:tc>
        <w:tc>
          <w:tcPr>
            <w:tcW w:w="2622" w:type="dxa"/>
            <w:tcBorders>
              <w:top w:val="single" w:sz="4" w:space="0" w:color="auto"/>
              <w:bottom w:val="nil"/>
            </w:tcBorders>
          </w:tcPr>
          <w:p w:rsidR="004F6C03" w:rsidRPr="0081159C" w:rsidRDefault="004F6C03" w:rsidP="006263CD">
            <w:pPr>
              <w:spacing w:beforeLines="20" w:before="72"/>
              <w:rPr>
                <w:rFonts w:ascii="Times New Roman" w:eastAsia="標楷體" w:hAnsi="Times New Roman" w:cs="Times New Roman"/>
                <w:szCs w:val="24"/>
              </w:rPr>
            </w:pPr>
            <w:r w:rsidRPr="0081159C">
              <w:rPr>
                <w:rFonts w:ascii="Times New Roman" w:eastAsia="標楷體" w:hAnsi="Times New Roman" w:cs="Times New Roman"/>
                <w:szCs w:val="24"/>
              </w:rPr>
              <w:t>新進人力遴選</w:t>
            </w:r>
            <w:r w:rsidR="009C2AE5" w:rsidRPr="00753E31">
              <w:rPr>
                <w:rFonts w:ascii="Times New Roman" w:eastAsia="標楷體" w:hAnsi="Times New Roman" w:cs="Times New Roman" w:hint="eastAsia"/>
                <w:szCs w:val="24"/>
              </w:rPr>
              <w:t>困難</w:t>
            </w:r>
            <w:r w:rsidRPr="0081159C">
              <w:rPr>
                <w:rFonts w:ascii="Times New Roman" w:eastAsia="標楷體" w:hAnsi="Times New Roman" w:cs="Times New Roman"/>
                <w:szCs w:val="24"/>
              </w:rPr>
              <w:t>度</w:t>
            </w:r>
          </w:p>
        </w:tc>
        <w:tc>
          <w:tcPr>
            <w:tcW w:w="4749" w:type="dxa"/>
            <w:tcBorders>
              <w:top w:val="single" w:sz="4" w:space="0" w:color="auto"/>
              <w:bottom w:val="nil"/>
            </w:tcBorders>
          </w:tcPr>
          <w:p w:rsidR="004F6C03" w:rsidRPr="0081159C" w:rsidRDefault="009C2AE5" w:rsidP="008A1EC1">
            <w:pPr>
              <w:spacing w:beforeLines="20" w:before="72"/>
              <w:rPr>
                <w:rFonts w:ascii="Times New Roman" w:eastAsia="標楷體" w:hAnsi="Times New Roman" w:cs="Times New Roman"/>
                <w:szCs w:val="24"/>
              </w:rPr>
            </w:pPr>
            <w:r>
              <w:rPr>
                <w:rFonts w:ascii="Times New Roman" w:eastAsia="標楷體" w:hAnsi="Times New Roman" w:cs="Times New Roman" w:hint="eastAsia"/>
                <w:szCs w:val="24"/>
              </w:rPr>
              <w:t>指</w:t>
            </w:r>
            <w:r w:rsidR="008A1EC1">
              <w:rPr>
                <w:rFonts w:ascii="Times New Roman" w:eastAsia="標楷體" w:hAnsi="Times New Roman" w:cs="Times New Roman" w:hint="eastAsia"/>
                <w:szCs w:val="24"/>
              </w:rPr>
              <w:t>透過國家考試分發或公開遴選方法，可以補實該工作類別新進人力的難易</w:t>
            </w:r>
            <w:r>
              <w:rPr>
                <w:rFonts w:ascii="Times New Roman" w:eastAsia="標楷體" w:hAnsi="Times New Roman" w:cs="Times New Roman" w:hint="eastAsia"/>
                <w:szCs w:val="24"/>
              </w:rPr>
              <w:t>程度。</w:t>
            </w:r>
          </w:p>
        </w:tc>
      </w:tr>
      <w:tr w:rsidR="004F6C03" w:rsidRPr="0081159C" w:rsidTr="008A1EC1">
        <w:tc>
          <w:tcPr>
            <w:tcW w:w="1668" w:type="dxa"/>
            <w:tcBorders>
              <w:top w:val="nil"/>
              <w:bottom w:val="single" w:sz="4" w:space="0" w:color="auto"/>
            </w:tcBorders>
          </w:tcPr>
          <w:p w:rsidR="004F6C03" w:rsidRPr="0081159C" w:rsidRDefault="004F6C03" w:rsidP="006263CD">
            <w:pPr>
              <w:spacing w:beforeLines="20" w:before="72"/>
              <w:rPr>
                <w:rFonts w:ascii="Times New Roman" w:eastAsia="標楷體" w:hAnsi="Times New Roman" w:cs="Times New Roman"/>
                <w:szCs w:val="24"/>
              </w:rPr>
            </w:pPr>
          </w:p>
        </w:tc>
        <w:tc>
          <w:tcPr>
            <w:tcW w:w="2622" w:type="dxa"/>
            <w:tcBorders>
              <w:bottom w:val="single" w:sz="4" w:space="0" w:color="auto"/>
            </w:tcBorders>
          </w:tcPr>
          <w:p w:rsidR="004F6C03" w:rsidRPr="0081159C" w:rsidRDefault="004F6C03" w:rsidP="006263CD">
            <w:pPr>
              <w:spacing w:beforeLines="20" w:before="72"/>
              <w:rPr>
                <w:rFonts w:ascii="Times New Roman" w:eastAsia="標楷體" w:hAnsi="Times New Roman" w:cs="Times New Roman"/>
                <w:szCs w:val="24"/>
              </w:rPr>
            </w:pPr>
            <w:r w:rsidRPr="0081159C">
              <w:rPr>
                <w:rFonts w:ascii="Times New Roman" w:eastAsia="標楷體" w:hAnsi="Times New Roman" w:cs="Times New Roman"/>
                <w:szCs w:val="24"/>
              </w:rPr>
              <w:t>現有人力流失率</w:t>
            </w:r>
          </w:p>
        </w:tc>
        <w:tc>
          <w:tcPr>
            <w:tcW w:w="4749" w:type="dxa"/>
            <w:tcBorders>
              <w:bottom w:val="single" w:sz="4" w:space="0" w:color="auto"/>
            </w:tcBorders>
          </w:tcPr>
          <w:p w:rsidR="004F6C03" w:rsidRPr="0081159C" w:rsidRDefault="009C2AE5" w:rsidP="00753E31">
            <w:pPr>
              <w:spacing w:beforeLines="20" w:before="72"/>
              <w:rPr>
                <w:rFonts w:ascii="Times New Roman" w:eastAsia="標楷體" w:hAnsi="Times New Roman" w:cs="Times New Roman"/>
                <w:szCs w:val="24"/>
              </w:rPr>
            </w:pPr>
            <w:r>
              <w:rPr>
                <w:rFonts w:ascii="Times New Roman" w:eastAsia="標楷體" w:hAnsi="Times New Roman" w:cs="Times New Roman" w:hint="eastAsia"/>
                <w:szCs w:val="24"/>
              </w:rPr>
              <w:t>指</w:t>
            </w:r>
            <w:r w:rsidR="008A1EC1">
              <w:rPr>
                <w:rFonts w:ascii="Times New Roman" w:eastAsia="標楷體" w:hAnsi="Times New Roman" w:cs="Times New Roman" w:hint="eastAsia"/>
                <w:szCs w:val="24"/>
              </w:rPr>
              <w:t>工作類別現職者離開政府</w:t>
            </w:r>
            <w:r w:rsidR="00B5294D">
              <w:rPr>
                <w:rFonts w:ascii="Times New Roman" w:eastAsia="標楷體" w:hAnsi="Times New Roman" w:cs="Times New Roman" w:hint="eastAsia"/>
                <w:szCs w:val="24"/>
              </w:rPr>
              <w:t>部門</w:t>
            </w:r>
            <w:r w:rsidR="008A1EC1">
              <w:rPr>
                <w:rFonts w:ascii="Times New Roman" w:eastAsia="標楷體" w:hAnsi="Times New Roman" w:cs="Times New Roman" w:hint="eastAsia"/>
                <w:szCs w:val="24"/>
              </w:rPr>
              <w:t>或</w:t>
            </w:r>
            <w:r w:rsidR="00753E31">
              <w:rPr>
                <w:rFonts w:ascii="Times New Roman" w:eastAsia="標楷體" w:hAnsi="Times New Roman" w:cs="Times New Roman" w:hint="eastAsia"/>
                <w:szCs w:val="24"/>
              </w:rPr>
              <w:t>平降</w:t>
            </w:r>
            <w:r w:rsidR="00B07464">
              <w:rPr>
                <w:rFonts w:ascii="Times New Roman" w:eastAsia="標楷體" w:hAnsi="Times New Roman" w:cs="Times New Roman" w:hint="eastAsia"/>
                <w:szCs w:val="24"/>
              </w:rPr>
              <w:t>調</w:t>
            </w:r>
            <w:r w:rsidR="00753E31">
              <w:rPr>
                <w:rFonts w:ascii="Times New Roman" w:eastAsia="標楷體" w:hAnsi="Times New Roman" w:cs="Times New Roman" w:hint="eastAsia"/>
                <w:szCs w:val="24"/>
              </w:rPr>
              <w:t>政府內</w:t>
            </w:r>
            <w:r w:rsidR="00B07464">
              <w:rPr>
                <w:rFonts w:ascii="Times New Roman" w:eastAsia="標楷體" w:hAnsi="Times New Roman" w:cs="Times New Roman" w:hint="eastAsia"/>
                <w:szCs w:val="24"/>
              </w:rPr>
              <w:t>其</w:t>
            </w:r>
            <w:r>
              <w:rPr>
                <w:rFonts w:ascii="Times New Roman" w:eastAsia="標楷體" w:hAnsi="Times New Roman" w:cs="Times New Roman" w:hint="eastAsia"/>
                <w:szCs w:val="24"/>
              </w:rPr>
              <w:t>他職系的程度</w:t>
            </w:r>
            <w:r w:rsidR="00B07464">
              <w:rPr>
                <w:rFonts w:ascii="Times New Roman" w:eastAsia="標楷體" w:hAnsi="Times New Roman" w:cs="Times New Roman" w:hint="eastAsia"/>
                <w:szCs w:val="24"/>
              </w:rPr>
              <w:t>。</w:t>
            </w:r>
          </w:p>
        </w:tc>
      </w:tr>
    </w:tbl>
    <w:p w:rsidR="000567A3" w:rsidRPr="00461F1A" w:rsidRDefault="000567A3">
      <w:pPr>
        <w:widowControl/>
      </w:pPr>
    </w:p>
    <w:p w:rsidR="00D76AF3" w:rsidRPr="00220AE5" w:rsidRDefault="00D76AF3"/>
    <w:sectPr w:rsidR="00D76AF3" w:rsidRPr="00220AE5" w:rsidSect="00481C9A">
      <w:headerReference w:type="default" r:id="rId9"/>
      <w:pgSz w:w="11906" w:h="16838"/>
      <w:pgMar w:top="1440" w:right="1800" w:bottom="1440" w:left="1800"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68" w:rsidRDefault="00E45A68" w:rsidP="00CA754E">
      <w:r>
        <w:separator/>
      </w:r>
    </w:p>
  </w:endnote>
  <w:endnote w:type="continuationSeparator" w:id="0">
    <w:p w:rsidR="00E45A68" w:rsidRDefault="00E45A68" w:rsidP="00CA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68" w:rsidRDefault="00E45A68" w:rsidP="00CA754E">
      <w:r>
        <w:separator/>
      </w:r>
    </w:p>
  </w:footnote>
  <w:footnote w:type="continuationSeparator" w:id="0">
    <w:p w:rsidR="00E45A68" w:rsidRDefault="00E45A68" w:rsidP="00CA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27168"/>
      <w:docPartObj>
        <w:docPartGallery w:val="Page Numbers (Top of Page)"/>
        <w:docPartUnique/>
      </w:docPartObj>
    </w:sdtPr>
    <w:sdtEndPr/>
    <w:sdtContent>
      <w:p w:rsidR="00C80979" w:rsidRDefault="00C80979">
        <w:pPr>
          <w:pStyle w:val="a4"/>
        </w:pPr>
        <w:r>
          <w:fldChar w:fldCharType="begin"/>
        </w:r>
        <w:r>
          <w:instrText>PAGE   \* MERGEFORMAT</w:instrText>
        </w:r>
        <w:r>
          <w:fldChar w:fldCharType="separate"/>
        </w:r>
        <w:r w:rsidR="0003196E" w:rsidRPr="0003196E">
          <w:rPr>
            <w:noProof/>
            <w:lang w:val="zh-TW"/>
          </w:rPr>
          <w:t>0</w:t>
        </w:r>
        <w:r>
          <w:fldChar w:fldCharType="end"/>
        </w:r>
      </w:p>
    </w:sdtContent>
  </w:sdt>
  <w:p w:rsidR="00C80979" w:rsidRDefault="00C809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E9F"/>
    <w:multiLevelType w:val="hybridMultilevel"/>
    <w:tmpl w:val="4BE0698E"/>
    <w:lvl w:ilvl="0" w:tplc="D34CC236">
      <w:start w:val="1"/>
      <w:numFmt w:val="decimal"/>
      <w:lvlText w:val="%1."/>
      <w:lvlJc w:val="left"/>
      <w:pPr>
        <w:ind w:left="1140" w:hanging="6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0D0CAB"/>
    <w:multiLevelType w:val="hybridMultilevel"/>
    <w:tmpl w:val="79B0E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E4BF5"/>
    <w:multiLevelType w:val="hybridMultilevel"/>
    <w:tmpl w:val="9AEAA1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725FF9"/>
    <w:multiLevelType w:val="hybridMultilevel"/>
    <w:tmpl w:val="4EFA2AF8"/>
    <w:lvl w:ilvl="0" w:tplc="35BE1C0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D4B2774"/>
    <w:multiLevelType w:val="hybridMultilevel"/>
    <w:tmpl w:val="8EEEB89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E752D69"/>
    <w:multiLevelType w:val="hybridMultilevel"/>
    <w:tmpl w:val="7F94CA02"/>
    <w:lvl w:ilvl="0" w:tplc="0409000F">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C2322D"/>
    <w:multiLevelType w:val="hybridMultilevel"/>
    <w:tmpl w:val="348E81CC"/>
    <w:lvl w:ilvl="0" w:tplc="596C18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1A70269"/>
    <w:multiLevelType w:val="hybridMultilevel"/>
    <w:tmpl w:val="2EB2ECA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321B7D61"/>
    <w:multiLevelType w:val="hybridMultilevel"/>
    <w:tmpl w:val="6F1C0B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9663D8"/>
    <w:multiLevelType w:val="hybridMultilevel"/>
    <w:tmpl w:val="5FC69218"/>
    <w:lvl w:ilvl="0" w:tplc="35BE1C0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3A0C2298"/>
    <w:multiLevelType w:val="hybridMultilevel"/>
    <w:tmpl w:val="B1F0B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2A1235A"/>
    <w:multiLevelType w:val="hybridMultilevel"/>
    <w:tmpl w:val="FB802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2F4116"/>
    <w:multiLevelType w:val="hybridMultilevel"/>
    <w:tmpl w:val="5B263952"/>
    <w:lvl w:ilvl="0" w:tplc="35BE1C0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nsid w:val="75436943"/>
    <w:multiLevelType w:val="hybridMultilevel"/>
    <w:tmpl w:val="0EF8C6CA"/>
    <w:lvl w:ilvl="0" w:tplc="35BE1C0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
  </w:num>
  <w:num w:numId="2">
    <w:abstractNumId w:val="5"/>
  </w:num>
  <w:num w:numId="3">
    <w:abstractNumId w:val="1"/>
  </w:num>
  <w:num w:numId="4">
    <w:abstractNumId w:val="11"/>
  </w:num>
  <w:num w:numId="5">
    <w:abstractNumId w:val="0"/>
  </w:num>
  <w:num w:numId="6">
    <w:abstractNumId w:val="6"/>
  </w:num>
  <w:num w:numId="7">
    <w:abstractNumId w:val="10"/>
  </w:num>
  <w:num w:numId="8">
    <w:abstractNumId w:val="8"/>
  </w:num>
  <w:num w:numId="9">
    <w:abstractNumId w:val="7"/>
  </w:num>
  <w:num w:numId="10">
    <w:abstractNumId w:val="12"/>
  </w:num>
  <w:num w:numId="11">
    <w:abstractNumId w:val="4"/>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F3"/>
    <w:rsid w:val="00004F3E"/>
    <w:rsid w:val="000072D7"/>
    <w:rsid w:val="0001429C"/>
    <w:rsid w:val="000255AD"/>
    <w:rsid w:val="0003196E"/>
    <w:rsid w:val="000567A3"/>
    <w:rsid w:val="0006719E"/>
    <w:rsid w:val="000722ED"/>
    <w:rsid w:val="000841FC"/>
    <w:rsid w:val="0008543F"/>
    <w:rsid w:val="000875D2"/>
    <w:rsid w:val="00097011"/>
    <w:rsid w:val="000A0B64"/>
    <w:rsid w:val="000A264C"/>
    <w:rsid w:val="000C2158"/>
    <w:rsid w:val="000D406D"/>
    <w:rsid w:val="000D7C27"/>
    <w:rsid w:val="000E45D5"/>
    <w:rsid w:val="000F3B7D"/>
    <w:rsid w:val="000F3EDF"/>
    <w:rsid w:val="00100552"/>
    <w:rsid w:val="00104BE7"/>
    <w:rsid w:val="001057DD"/>
    <w:rsid w:val="00107AF4"/>
    <w:rsid w:val="00112E81"/>
    <w:rsid w:val="00133F73"/>
    <w:rsid w:val="00140692"/>
    <w:rsid w:val="00147842"/>
    <w:rsid w:val="00154530"/>
    <w:rsid w:val="001613FA"/>
    <w:rsid w:val="00161DDD"/>
    <w:rsid w:val="001621EB"/>
    <w:rsid w:val="001653F2"/>
    <w:rsid w:val="00176D17"/>
    <w:rsid w:val="0018510A"/>
    <w:rsid w:val="00195529"/>
    <w:rsid w:val="00197101"/>
    <w:rsid w:val="001A190F"/>
    <w:rsid w:val="001A1BDC"/>
    <w:rsid w:val="001B2130"/>
    <w:rsid w:val="001C1150"/>
    <w:rsid w:val="001C1E0E"/>
    <w:rsid w:val="001D5B38"/>
    <w:rsid w:val="001E7958"/>
    <w:rsid w:val="001F091F"/>
    <w:rsid w:val="001F776E"/>
    <w:rsid w:val="002000BA"/>
    <w:rsid w:val="00203F1E"/>
    <w:rsid w:val="00220AE5"/>
    <w:rsid w:val="00223423"/>
    <w:rsid w:val="00223C9A"/>
    <w:rsid w:val="00252122"/>
    <w:rsid w:val="002666BC"/>
    <w:rsid w:val="002711D0"/>
    <w:rsid w:val="00283F1A"/>
    <w:rsid w:val="00285BF7"/>
    <w:rsid w:val="00295066"/>
    <w:rsid w:val="002A2C10"/>
    <w:rsid w:val="002B3EBE"/>
    <w:rsid w:val="002C2490"/>
    <w:rsid w:val="002D5385"/>
    <w:rsid w:val="002E082F"/>
    <w:rsid w:val="002E35BC"/>
    <w:rsid w:val="00302F34"/>
    <w:rsid w:val="0030436E"/>
    <w:rsid w:val="00306C1E"/>
    <w:rsid w:val="003225B7"/>
    <w:rsid w:val="00327B18"/>
    <w:rsid w:val="00331FA8"/>
    <w:rsid w:val="003436F9"/>
    <w:rsid w:val="00344DBF"/>
    <w:rsid w:val="00350BE1"/>
    <w:rsid w:val="0037338D"/>
    <w:rsid w:val="00373F84"/>
    <w:rsid w:val="00377A87"/>
    <w:rsid w:val="0038548B"/>
    <w:rsid w:val="003A553B"/>
    <w:rsid w:val="003B119C"/>
    <w:rsid w:val="003D06AF"/>
    <w:rsid w:val="003D2CEF"/>
    <w:rsid w:val="003D3AE8"/>
    <w:rsid w:val="003D5BD6"/>
    <w:rsid w:val="00405514"/>
    <w:rsid w:val="00406B4D"/>
    <w:rsid w:val="004158E6"/>
    <w:rsid w:val="0042186E"/>
    <w:rsid w:val="00423D49"/>
    <w:rsid w:val="00425828"/>
    <w:rsid w:val="0043778F"/>
    <w:rsid w:val="00446078"/>
    <w:rsid w:val="00454D14"/>
    <w:rsid w:val="00461F1A"/>
    <w:rsid w:val="00465C1A"/>
    <w:rsid w:val="00466B21"/>
    <w:rsid w:val="00471079"/>
    <w:rsid w:val="00481C9A"/>
    <w:rsid w:val="00483023"/>
    <w:rsid w:val="004A6EEA"/>
    <w:rsid w:val="004B2043"/>
    <w:rsid w:val="004B651E"/>
    <w:rsid w:val="004C662B"/>
    <w:rsid w:val="004D52F1"/>
    <w:rsid w:val="004E10B6"/>
    <w:rsid w:val="004E169C"/>
    <w:rsid w:val="004E373C"/>
    <w:rsid w:val="004F5DE1"/>
    <w:rsid w:val="004F6C03"/>
    <w:rsid w:val="00525CA7"/>
    <w:rsid w:val="0052659A"/>
    <w:rsid w:val="00534C22"/>
    <w:rsid w:val="005411E9"/>
    <w:rsid w:val="0054539D"/>
    <w:rsid w:val="00573CE9"/>
    <w:rsid w:val="00594CBE"/>
    <w:rsid w:val="005A124B"/>
    <w:rsid w:val="005A7B4A"/>
    <w:rsid w:val="005E4152"/>
    <w:rsid w:val="005F24A1"/>
    <w:rsid w:val="005F5103"/>
    <w:rsid w:val="005F6F56"/>
    <w:rsid w:val="006005B3"/>
    <w:rsid w:val="006114B3"/>
    <w:rsid w:val="006124BF"/>
    <w:rsid w:val="00615081"/>
    <w:rsid w:val="006256C8"/>
    <w:rsid w:val="006263CD"/>
    <w:rsid w:val="0064334D"/>
    <w:rsid w:val="00646834"/>
    <w:rsid w:val="00651B79"/>
    <w:rsid w:val="006521D2"/>
    <w:rsid w:val="00660FC6"/>
    <w:rsid w:val="00664E92"/>
    <w:rsid w:val="00665364"/>
    <w:rsid w:val="00666528"/>
    <w:rsid w:val="0068405F"/>
    <w:rsid w:val="00690A96"/>
    <w:rsid w:val="00696CE6"/>
    <w:rsid w:val="006A287D"/>
    <w:rsid w:val="006A3714"/>
    <w:rsid w:val="006A6C6E"/>
    <w:rsid w:val="006B194E"/>
    <w:rsid w:val="006B6AEF"/>
    <w:rsid w:val="006B7D08"/>
    <w:rsid w:val="006C6B47"/>
    <w:rsid w:val="006C7315"/>
    <w:rsid w:val="006C7E3C"/>
    <w:rsid w:val="006D11E0"/>
    <w:rsid w:val="006D3573"/>
    <w:rsid w:val="006E3591"/>
    <w:rsid w:val="006F3198"/>
    <w:rsid w:val="006F3C78"/>
    <w:rsid w:val="00702FE8"/>
    <w:rsid w:val="00710C80"/>
    <w:rsid w:val="00714728"/>
    <w:rsid w:val="00736702"/>
    <w:rsid w:val="00744357"/>
    <w:rsid w:val="00747189"/>
    <w:rsid w:val="00747AE3"/>
    <w:rsid w:val="00750C83"/>
    <w:rsid w:val="00753E31"/>
    <w:rsid w:val="0076089E"/>
    <w:rsid w:val="00760C8F"/>
    <w:rsid w:val="00763DDE"/>
    <w:rsid w:val="00774E5D"/>
    <w:rsid w:val="007825B4"/>
    <w:rsid w:val="00795813"/>
    <w:rsid w:val="00796052"/>
    <w:rsid w:val="007A1CF3"/>
    <w:rsid w:val="007A50B0"/>
    <w:rsid w:val="007C123E"/>
    <w:rsid w:val="007D2E8F"/>
    <w:rsid w:val="007E3567"/>
    <w:rsid w:val="007F4161"/>
    <w:rsid w:val="008022DD"/>
    <w:rsid w:val="0080496E"/>
    <w:rsid w:val="0081159C"/>
    <w:rsid w:val="00811937"/>
    <w:rsid w:val="00823106"/>
    <w:rsid w:val="008466BD"/>
    <w:rsid w:val="00866CC1"/>
    <w:rsid w:val="00874DF6"/>
    <w:rsid w:val="00882D4D"/>
    <w:rsid w:val="0088406F"/>
    <w:rsid w:val="00892CD5"/>
    <w:rsid w:val="008A1EC1"/>
    <w:rsid w:val="008A3B4D"/>
    <w:rsid w:val="008A66B3"/>
    <w:rsid w:val="008B14D8"/>
    <w:rsid w:val="008B5E67"/>
    <w:rsid w:val="008B664D"/>
    <w:rsid w:val="008C3384"/>
    <w:rsid w:val="008C75CE"/>
    <w:rsid w:val="008D1C0B"/>
    <w:rsid w:val="008E357D"/>
    <w:rsid w:val="008E7B99"/>
    <w:rsid w:val="008F34D2"/>
    <w:rsid w:val="00910B2F"/>
    <w:rsid w:val="00911572"/>
    <w:rsid w:val="00917C8C"/>
    <w:rsid w:val="009211B3"/>
    <w:rsid w:val="009272A9"/>
    <w:rsid w:val="00927957"/>
    <w:rsid w:val="009412A4"/>
    <w:rsid w:val="00947CE6"/>
    <w:rsid w:val="009507D7"/>
    <w:rsid w:val="00954F40"/>
    <w:rsid w:val="009553E5"/>
    <w:rsid w:val="00964003"/>
    <w:rsid w:val="00992142"/>
    <w:rsid w:val="009A529A"/>
    <w:rsid w:val="009A6F36"/>
    <w:rsid w:val="009B0A04"/>
    <w:rsid w:val="009B7865"/>
    <w:rsid w:val="009C12DE"/>
    <w:rsid w:val="009C1C21"/>
    <w:rsid w:val="009C2AE5"/>
    <w:rsid w:val="009D03C4"/>
    <w:rsid w:val="009D1D8A"/>
    <w:rsid w:val="009D456B"/>
    <w:rsid w:val="009D6413"/>
    <w:rsid w:val="009E58BF"/>
    <w:rsid w:val="009F141C"/>
    <w:rsid w:val="009F19C5"/>
    <w:rsid w:val="009F6B9D"/>
    <w:rsid w:val="00A00E34"/>
    <w:rsid w:val="00A12046"/>
    <w:rsid w:val="00A2486D"/>
    <w:rsid w:val="00A268A9"/>
    <w:rsid w:val="00A34A5D"/>
    <w:rsid w:val="00A36B15"/>
    <w:rsid w:val="00A374A4"/>
    <w:rsid w:val="00A45C9E"/>
    <w:rsid w:val="00A560F8"/>
    <w:rsid w:val="00A7317E"/>
    <w:rsid w:val="00A8230C"/>
    <w:rsid w:val="00A86C48"/>
    <w:rsid w:val="00A923F4"/>
    <w:rsid w:val="00A96A45"/>
    <w:rsid w:val="00A96FF7"/>
    <w:rsid w:val="00AA24A1"/>
    <w:rsid w:val="00AA2605"/>
    <w:rsid w:val="00AA6C27"/>
    <w:rsid w:val="00AB465A"/>
    <w:rsid w:val="00AB6FCD"/>
    <w:rsid w:val="00AC3A9B"/>
    <w:rsid w:val="00AC69F0"/>
    <w:rsid w:val="00AC76B7"/>
    <w:rsid w:val="00AE10DF"/>
    <w:rsid w:val="00B006DF"/>
    <w:rsid w:val="00B01121"/>
    <w:rsid w:val="00B07464"/>
    <w:rsid w:val="00B12A65"/>
    <w:rsid w:val="00B25308"/>
    <w:rsid w:val="00B3244B"/>
    <w:rsid w:val="00B330E6"/>
    <w:rsid w:val="00B34969"/>
    <w:rsid w:val="00B3664A"/>
    <w:rsid w:val="00B4375B"/>
    <w:rsid w:val="00B44E1A"/>
    <w:rsid w:val="00B5294D"/>
    <w:rsid w:val="00B54193"/>
    <w:rsid w:val="00B55F1E"/>
    <w:rsid w:val="00B563B0"/>
    <w:rsid w:val="00B723C5"/>
    <w:rsid w:val="00B83182"/>
    <w:rsid w:val="00B8589B"/>
    <w:rsid w:val="00B91164"/>
    <w:rsid w:val="00BA4E08"/>
    <w:rsid w:val="00BB15BE"/>
    <w:rsid w:val="00BC591B"/>
    <w:rsid w:val="00BC5DD1"/>
    <w:rsid w:val="00BF326D"/>
    <w:rsid w:val="00BF6E39"/>
    <w:rsid w:val="00C027E4"/>
    <w:rsid w:val="00C03C8F"/>
    <w:rsid w:val="00C059DC"/>
    <w:rsid w:val="00C168B1"/>
    <w:rsid w:val="00C17ECC"/>
    <w:rsid w:val="00C21066"/>
    <w:rsid w:val="00C23EC6"/>
    <w:rsid w:val="00C31F15"/>
    <w:rsid w:val="00C34DE3"/>
    <w:rsid w:val="00C50CEA"/>
    <w:rsid w:val="00C52318"/>
    <w:rsid w:val="00C554F7"/>
    <w:rsid w:val="00C63C41"/>
    <w:rsid w:val="00C67A29"/>
    <w:rsid w:val="00C7312A"/>
    <w:rsid w:val="00C75525"/>
    <w:rsid w:val="00C80137"/>
    <w:rsid w:val="00C80979"/>
    <w:rsid w:val="00C812FB"/>
    <w:rsid w:val="00C9774D"/>
    <w:rsid w:val="00CA2D88"/>
    <w:rsid w:val="00CA434C"/>
    <w:rsid w:val="00CA754E"/>
    <w:rsid w:val="00CB06ED"/>
    <w:rsid w:val="00CB4045"/>
    <w:rsid w:val="00CB7345"/>
    <w:rsid w:val="00CC4966"/>
    <w:rsid w:val="00CD158C"/>
    <w:rsid w:val="00CD3AAD"/>
    <w:rsid w:val="00CE0BA8"/>
    <w:rsid w:val="00CE3A90"/>
    <w:rsid w:val="00CF6220"/>
    <w:rsid w:val="00D032B8"/>
    <w:rsid w:val="00D10D82"/>
    <w:rsid w:val="00D1475C"/>
    <w:rsid w:val="00D20967"/>
    <w:rsid w:val="00D219D6"/>
    <w:rsid w:val="00D27B95"/>
    <w:rsid w:val="00D33E23"/>
    <w:rsid w:val="00D36E21"/>
    <w:rsid w:val="00D50DEA"/>
    <w:rsid w:val="00D76AF3"/>
    <w:rsid w:val="00DC1AC3"/>
    <w:rsid w:val="00DC2FBE"/>
    <w:rsid w:val="00DC3AA2"/>
    <w:rsid w:val="00DC64AF"/>
    <w:rsid w:val="00DD35DB"/>
    <w:rsid w:val="00DD62DE"/>
    <w:rsid w:val="00DD6390"/>
    <w:rsid w:val="00DD6E8C"/>
    <w:rsid w:val="00DD70F0"/>
    <w:rsid w:val="00DE2C52"/>
    <w:rsid w:val="00DF2D06"/>
    <w:rsid w:val="00E027C8"/>
    <w:rsid w:val="00E126A6"/>
    <w:rsid w:val="00E223EC"/>
    <w:rsid w:val="00E24E3F"/>
    <w:rsid w:val="00E42D46"/>
    <w:rsid w:val="00E45A68"/>
    <w:rsid w:val="00E4628E"/>
    <w:rsid w:val="00E51B51"/>
    <w:rsid w:val="00E5211B"/>
    <w:rsid w:val="00E5683F"/>
    <w:rsid w:val="00E71701"/>
    <w:rsid w:val="00E71A7B"/>
    <w:rsid w:val="00E746E3"/>
    <w:rsid w:val="00E906BB"/>
    <w:rsid w:val="00EA6E73"/>
    <w:rsid w:val="00EB1D10"/>
    <w:rsid w:val="00EB2B70"/>
    <w:rsid w:val="00EB4901"/>
    <w:rsid w:val="00EC0747"/>
    <w:rsid w:val="00EC1B9D"/>
    <w:rsid w:val="00EC2387"/>
    <w:rsid w:val="00ED68EE"/>
    <w:rsid w:val="00EF2BA5"/>
    <w:rsid w:val="00EF6171"/>
    <w:rsid w:val="00F030CD"/>
    <w:rsid w:val="00F15B5F"/>
    <w:rsid w:val="00F2091B"/>
    <w:rsid w:val="00F26A53"/>
    <w:rsid w:val="00F33B6B"/>
    <w:rsid w:val="00F40876"/>
    <w:rsid w:val="00F4393B"/>
    <w:rsid w:val="00F44838"/>
    <w:rsid w:val="00F5665A"/>
    <w:rsid w:val="00F57D51"/>
    <w:rsid w:val="00F57EDD"/>
    <w:rsid w:val="00F61904"/>
    <w:rsid w:val="00F62758"/>
    <w:rsid w:val="00F65207"/>
    <w:rsid w:val="00F74967"/>
    <w:rsid w:val="00F857A1"/>
    <w:rsid w:val="00F921AB"/>
    <w:rsid w:val="00F96CAF"/>
    <w:rsid w:val="00F9753B"/>
    <w:rsid w:val="00FA1983"/>
    <w:rsid w:val="00FA22AF"/>
    <w:rsid w:val="00FA36D2"/>
    <w:rsid w:val="00FA38E9"/>
    <w:rsid w:val="00FA3F51"/>
    <w:rsid w:val="00FA6EFF"/>
    <w:rsid w:val="00FA7B41"/>
    <w:rsid w:val="00FB7A49"/>
    <w:rsid w:val="00FC18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54E"/>
    <w:pPr>
      <w:tabs>
        <w:tab w:val="center" w:pos="4153"/>
        <w:tab w:val="right" w:pos="8306"/>
      </w:tabs>
      <w:snapToGrid w:val="0"/>
    </w:pPr>
    <w:rPr>
      <w:sz w:val="20"/>
      <w:szCs w:val="20"/>
    </w:rPr>
  </w:style>
  <w:style w:type="character" w:customStyle="1" w:styleId="a5">
    <w:name w:val="頁首 字元"/>
    <w:basedOn w:val="a0"/>
    <w:link w:val="a4"/>
    <w:uiPriority w:val="99"/>
    <w:rsid w:val="00CA754E"/>
    <w:rPr>
      <w:sz w:val="20"/>
      <w:szCs w:val="20"/>
    </w:rPr>
  </w:style>
  <w:style w:type="paragraph" w:styleId="a6">
    <w:name w:val="footer"/>
    <w:basedOn w:val="a"/>
    <w:link w:val="a7"/>
    <w:uiPriority w:val="99"/>
    <w:unhideWhenUsed/>
    <w:rsid w:val="00CA754E"/>
    <w:pPr>
      <w:tabs>
        <w:tab w:val="center" w:pos="4153"/>
        <w:tab w:val="right" w:pos="8306"/>
      </w:tabs>
      <w:snapToGrid w:val="0"/>
    </w:pPr>
    <w:rPr>
      <w:sz w:val="20"/>
      <w:szCs w:val="20"/>
    </w:rPr>
  </w:style>
  <w:style w:type="character" w:customStyle="1" w:styleId="a7">
    <w:name w:val="頁尾 字元"/>
    <w:basedOn w:val="a0"/>
    <w:link w:val="a6"/>
    <w:uiPriority w:val="99"/>
    <w:rsid w:val="00CA754E"/>
    <w:rPr>
      <w:sz w:val="20"/>
      <w:szCs w:val="20"/>
    </w:rPr>
  </w:style>
  <w:style w:type="paragraph" w:styleId="a8">
    <w:name w:val="Plain Text"/>
    <w:basedOn w:val="a"/>
    <w:link w:val="a9"/>
    <w:semiHidden/>
    <w:rsid w:val="00350BE1"/>
    <w:rPr>
      <w:rFonts w:ascii="細明體" w:eastAsia="細明體" w:hAnsi="Courier New" w:cs="Times New Roman"/>
      <w:szCs w:val="20"/>
    </w:rPr>
  </w:style>
  <w:style w:type="character" w:customStyle="1" w:styleId="a9">
    <w:name w:val="純文字 字元"/>
    <w:basedOn w:val="a0"/>
    <w:link w:val="a8"/>
    <w:semiHidden/>
    <w:rsid w:val="00350BE1"/>
    <w:rPr>
      <w:rFonts w:ascii="細明體" w:eastAsia="細明體" w:hAnsi="Courier New" w:cs="Times New Roman"/>
      <w:szCs w:val="20"/>
    </w:rPr>
  </w:style>
  <w:style w:type="paragraph" w:customStyle="1" w:styleId="1">
    <w:name w:val="純文字1"/>
    <w:basedOn w:val="a"/>
    <w:rsid w:val="00350BE1"/>
    <w:pPr>
      <w:adjustRightInd w:val="0"/>
      <w:textAlignment w:val="baseline"/>
    </w:pPr>
    <w:rPr>
      <w:rFonts w:ascii="細明體" w:eastAsia="細明體" w:hAnsi="Times New Roman" w:cs="Times New Roman"/>
      <w:kern w:val="0"/>
      <w:szCs w:val="20"/>
    </w:rPr>
  </w:style>
  <w:style w:type="paragraph" w:styleId="aa">
    <w:name w:val="List Paragraph"/>
    <w:basedOn w:val="a"/>
    <w:uiPriority w:val="34"/>
    <w:qFormat/>
    <w:rsid w:val="00CD3AAD"/>
    <w:pPr>
      <w:ind w:leftChars="200" w:left="480"/>
    </w:pPr>
  </w:style>
  <w:style w:type="paragraph" w:styleId="HTML">
    <w:name w:val="HTML Preformatted"/>
    <w:basedOn w:val="a"/>
    <w:link w:val="HTML0"/>
    <w:uiPriority w:val="99"/>
    <w:unhideWhenUsed/>
    <w:rsid w:val="00067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6719E"/>
    <w:rPr>
      <w:rFonts w:ascii="細明體" w:eastAsia="細明體" w:hAnsi="細明體" w:cs="細明體"/>
      <w:kern w:val="0"/>
      <w:szCs w:val="24"/>
    </w:rPr>
  </w:style>
  <w:style w:type="character" w:styleId="ab">
    <w:name w:val="Hyperlink"/>
    <w:basedOn w:val="a0"/>
    <w:uiPriority w:val="99"/>
    <w:unhideWhenUsed/>
    <w:rsid w:val="00302F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54E"/>
    <w:pPr>
      <w:tabs>
        <w:tab w:val="center" w:pos="4153"/>
        <w:tab w:val="right" w:pos="8306"/>
      </w:tabs>
      <w:snapToGrid w:val="0"/>
    </w:pPr>
    <w:rPr>
      <w:sz w:val="20"/>
      <w:szCs w:val="20"/>
    </w:rPr>
  </w:style>
  <w:style w:type="character" w:customStyle="1" w:styleId="a5">
    <w:name w:val="頁首 字元"/>
    <w:basedOn w:val="a0"/>
    <w:link w:val="a4"/>
    <w:uiPriority w:val="99"/>
    <w:rsid w:val="00CA754E"/>
    <w:rPr>
      <w:sz w:val="20"/>
      <w:szCs w:val="20"/>
    </w:rPr>
  </w:style>
  <w:style w:type="paragraph" w:styleId="a6">
    <w:name w:val="footer"/>
    <w:basedOn w:val="a"/>
    <w:link w:val="a7"/>
    <w:uiPriority w:val="99"/>
    <w:unhideWhenUsed/>
    <w:rsid w:val="00CA754E"/>
    <w:pPr>
      <w:tabs>
        <w:tab w:val="center" w:pos="4153"/>
        <w:tab w:val="right" w:pos="8306"/>
      </w:tabs>
      <w:snapToGrid w:val="0"/>
    </w:pPr>
    <w:rPr>
      <w:sz w:val="20"/>
      <w:szCs w:val="20"/>
    </w:rPr>
  </w:style>
  <w:style w:type="character" w:customStyle="1" w:styleId="a7">
    <w:name w:val="頁尾 字元"/>
    <w:basedOn w:val="a0"/>
    <w:link w:val="a6"/>
    <w:uiPriority w:val="99"/>
    <w:rsid w:val="00CA754E"/>
    <w:rPr>
      <w:sz w:val="20"/>
      <w:szCs w:val="20"/>
    </w:rPr>
  </w:style>
  <w:style w:type="paragraph" w:styleId="a8">
    <w:name w:val="Plain Text"/>
    <w:basedOn w:val="a"/>
    <w:link w:val="a9"/>
    <w:semiHidden/>
    <w:rsid w:val="00350BE1"/>
    <w:rPr>
      <w:rFonts w:ascii="細明體" w:eastAsia="細明體" w:hAnsi="Courier New" w:cs="Times New Roman"/>
      <w:szCs w:val="20"/>
    </w:rPr>
  </w:style>
  <w:style w:type="character" w:customStyle="1" w:styleId="a9">
    <w:name w:val="純文字 字元"/>
    <w:basedOn w:val="a0"/>
    <w:link w:val="a8"/>
    <w:semiHidden/>
    <w:rsid w:val="00350BE1"/>
    <w:rPr>
      <w:rFonts w:ascii="細明體" w:eastAsia="細明體" w:hAnsi="Courier New" w:cs="Times New Roman"/>
      <w:szCs w:val="20"/>
    </w:rPr>
  </w:style>
  <w:style w:type="paragraph" w:customStyle="1" w:styleId="1">
    <w:name w:val="純文字1"/>
    <w:basedOn w:val="a"/>
    <w:rsid w:val="00350BE1"/>
    <w:pPr>
      <w:adjustRightInd w:val="0"/>
      <w:textAlignment w:val="baseline"/>
    </w:pPr>
    <w:rPr>
      <w:rFonts w:ascii="細明體" w:eastAsia="細明體" w:hAnsi="Times New Roman" w:cs="Times New Roman"/>
      <w:kern w:val="0"/>
      <w:szCs w:val="20"/>
    </w:rPr>
  </w:style>
  <w:style w:type="paragraph" w:styleId="aa">
    <w:name w:val="List Paragraph"/>
    <w:basedOn w:val="a"/>
    <w:uiPriority w:val="34"/>
    <w:qFormat/>
    <w:rsid w:val="00CD3AAD"/>
    <w:pPr>
      <w:ind w:leftChars="200" w:left="480"/>
    </w:pPr>
  </w:style>
  <w:style w:type="paragraph" w:styleId="HTML">
    <w:name w:val="HTML Preformatted"/>
    <w:basedOn w:val="a"/>
    <w:link w:val="HTML0"/>
    <w:uiPriority w:val="99"/>
    <w:unhideWhenUsed/>
    <w:rsid w:val="000671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6719E"/>
    <w:rPr>
      <w:rFonts w:ascii="細明體" w:eastAsia="細明體" w:hAnsi="細明體" w:cs="細明體"/>
      <w:kern w:val="0"/>
      <w:szCs w:val="24"/>
    </w:rPr>
  </w:style>
  <w:style w:type="character" w:styleId="ab">
    <w:name w:val="Hyperlink"/>
    <w:basedOn w:val="a0"/>
    <w:uiPriority w:val="99"/>
    <w:unhideWhenUsed/>
    <w:rsid w:val="00302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13240">
      <w:bodyDiv w:val="1"/>
      <w:marLeft w:val="0"/>
      <w:marRight w:val="0"/>
      <w:marTop w:val="0"/>
      <w:marBottom w:val="0"/>
      <w:divBdr>
        <w:top w:val="none" w:sz="0" w:space="0" w:color="auto"/>
        <w:left w:val="none" w:sz="0" w:space="0" w:color="auto"/>
        <w:bottom w:val="none" w:sz="0" w:space="0" w:color="auto"/>
        <w:right w:val="none" w:sz="0" w:space="0" w:color="auto"/>
      </w:divBdr>
    </w:div>
    <w:div w:id="1002705642">
      <w:bodyDiv w:val="1"/>
      <w:marLeft w:val="0"/>
      <w:marRight w:val="0"/>
      <w:marTop w:val="0"/>
      <w:marBottom w:val="0"/>
      <w:divBdr>
        <w:top w:val="none" w:sz="0" w:space="0" w:color="auto"/>
        <w:left w:val="none" w:sz="0" w:space="0" w:color="auto"/>
        <w:bottom w:val="none" w:sz="0" w:space="0" w:color="auto"/>
        <w:right w:val="none" w:sz="0" w:space="0" w:color="auto"/>
      </w:divBdr>
    </w:div>
    <w:div w:id="1089695851">
      <w:bodyDiv w:val="1"/>
      <w:marLeft w:val="0"/>
      <w:marRight w:val="0"/>
      <w:marTop w:val="0"/>
      <w:marBottom w:val="0"/>
      <w:divBdr>
        <w:top w:val="none" w:sz="0" w:space="0" w:color="auto"/>
        <w:left w:val="none" w:sz="0" w:space="0" w:color="auto"/>
        <w:bottom w:val="none" w:sz="0" w:space="0" w:color="auto"/>
        <w:right w:val="none" w:sz="0" w:space="0" w:color="auto"/>
      </w:divBdr>
    </w:div>
    <w:div w:id="1096512347">
      <w:bodyDiv w:val="1"/>
      <w:marLeft w:val="0"/>
      <w:marRight w:val="0"/>
      <w:marTop w:val="0"/>
      <w:marBottom w:val="0"/>
      <w:divBdr>
        <w:top w:val="none" w:sz="0" w:space="0" w:color="auto"/>
        <w:left w:val="none" w:sz="0" w:space="0" w:color="auto"/>
        <w:bottom w:val="none" w:sz="0" w:space="0" w:color="auto"/>
        <w:right w:val="none" w:sz="0" w:space="0" w:color="auto"/>
      </w:divBdr>
    </w:div>
    <w:div w:id="1380474386">
      <w:bodyDiv w:val="1"/>
      <w:marLeft w:val="0"/>
      <w:marRight w:val="0"/>
      <w:marTop w:val="0"/>
      <w:marBottom w:val="0"/>
      <w:divBdr>
        <w:top w:val="none" w:sz="0" w:space="0" w:color="auto"/>
        <w:left w:val="none" w:sz="0" w:space="0" w:color="auto"/>
        <w:bottom w:val="none" w:sz="0" w:space="0" w:color="auto"/>
        <w:right w:val="none" w:sz="0" w:space="0" w:color="auto"/>
      </w:divBdr>
    </w:div>
    <w:div w:id="1847279359">
      <w:bodyDiv w:val="1"/>
      <w:marLeft w:val="0"/>
      <w:marRight w:val="0"/>
      <w:marTop w:val="0"/>
      <w:marBottom w:val="0"/>
      <w:divBdr>
        <w:top w:val="none" w:sz="0" w:space="0" w:color="auto"/>
        <w:left w:val="none" w:sz="0" w:space="0" w:color="auto"/>
        <w:bottom w:val="none" w:sz="0" w:space="0" w:color="auto"/>
        <w:right w:val="none" w:sz="0" w:space="0" w:color="auto"/>
      </w:divBdr>
    </w:div>
    <w:div w:id="213551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E047-8C7D-41F9-B6CA-0BAF6126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總發文呂志彥</cp:lastModifiedBy>
  <cp:revision>4</cp:revision>
  <dcterms:created xsi:type="dcterms:W3CDTF">2014-11-06T06:09:00Z</dcterms:created>
  <dcterms:modified xsi:type="dcterms:W3CDTF">2014-11-07T09:57:00Z</dcterms:modified>
</cp:coreProperties>
</file>