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9F" w:rsidRDefault="000C099F" w:rsidP="00DF5A96">
      <w:pPr>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行政院人事行政總處辦理</w:t>
      </w:r>
      <w:r w:rsidRPr="00A6333F">
        <w:rPr>
          <w:rFonts w:ascii="標楷體" w:eastAsia="標楷體" w:hAnsi="標楷體" w:hint="eastAsia"/>
          <w:b/>
          <w:sz w:val="32"/>
          <w:szCs w:val="32"/>
        </w:rPr>
        <w:t>人權教育訓練</w:t>
      </w:r>
      <w:r>
        <w:rPr>
          <w:rFonts w:ascii="標楷體" w:eastAsia="標楷體" w:hAnsi="標楷體" w:hint="eastAsia"/>
          <w:b/>
          <w:sz w:val="32"/>
          <w:szCs w:val="32"/>
        </w:rPr>
        <w:t>參考資料</w:t>
      </w:r>
    </w:p>
    <w:p w:rsidR="000C099F" w:rsidRPr="00B02CDA" w:rsidRDefault="000C099F" w:rsidP="0040075B">
      <w:pPr>
        <w:rPr>
          <w:rFonts w:ascii="標楷體" w:eastAsia="標楷體" w:hAnsi="標楷體"/>
          <w:b/>
          <w:sz w:val="28"/>
          <w:szCs w:val="28"/>
        </w:rPr>
      </w:pPr>
      <w:r w:rsidRPr="00B02CDA">
        <w:rPr>
          <w:rFonts w:ascii="標楷體" w:eastAsia="標楷體" w:hAnsi="標楷體" w:hint="eastAsia"/>
          <w:b/>
          <w:sz w:val="28"/>
          <w:szCs w:val="28"/>
        </w:rPr>
        <w:t>一、</w:t>
      </w:r>
      <w:r>
        <w:rPr>
          <w:rFonts w:ascii="標楷體" w:eastAsia="標楷體" w:hAnsi="標楷體" w:hint="eastAsia"/>
          <w:b/>
          <w:sz w:val="28"/>
          <w:szCs w:val="28"/>
        </w:rPr>
        <w:t>行政院人事行政總處</w:t>
      </w:r>
      <w:r w:rsidRPr="00B02CDA">
        <w:rPr>
          <w:rFonts w:ascii="標楷體" w:eastAsia="標楷體" w:hAnsi="標楷體" w:hint="eastAsia"/>
          <w:b/>
          <w:sz w:val="28"/>
          <w:szCs w:val="28"/>
        </w:rPr>
        <w:t>公務人力發展中心提供：</w:t>
      </w:r>
    </w:p>
    <w:tbl>
      <w:tblPr>
        <w:tblW w:w="14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4536"/>
        <w:gridCol w:w="1417"/>
        <w:gridCol w:w="1276"/>
        <w:gridCol w:w="3969"/>
        <w:gridCol w:w="851"/>
        <w:gridCol w:w="7"/>
      </w:tblGrid>
      <w:tr w:rsidR="000C099F" w:rsidRPr="005937C0" w:rsidTr="005937C0">
        <w:trPr>
          <w:gridAfter w:val="1"/>
          <w:wAfter w:w="7" w:type="dxa"/>
          <w:tblHeader/>
        </w:trPr>
        <w:tc>
          <w:tcPr>
            <w:tcW w:w="709"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年度</w:t>
            </w:r>
          </w:p>
        </w:tc>
        <w:tc>
          <w:tcPr>
            <w:tcW w:w="1843"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課程名稱</w:t>
            </w:r>
          </w:p>
        </w:tc>
        <w:tc>
          <w:tcPr>
            <w:tcW w:w="4536"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課程內容</w:t>
            </w:r>
          </w:p>
        </w:tc>
        <w:tc>
          <w:tcPr>
            <w:tcW w:w="1417"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課程辦理方式</w:t>
            </w:r>
          </w:p>
        </w:tc>
        <w:tc>
          <w:tcPr>
            <w:tcW w:w="5245" w:type="dxa"/>
            <w:gridSpan w:val="2"/>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講座</w:t>
            </w:r>
          </w:p>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b/>
                <w:szCs w:val="24"/>
              </w:rPr>
              <w:t>(</w:t>
            </w:r>
            <w:r w:rsidRPr="005937C0">
              <w:rPr>
                <w:rFonts w:ascii="標楷體" w:eastAsia="標楷體" w:hAnsi="標楷體" w:hint="eastAsia"/>
                <w:b/>
                <w:szCs w:val="24"/>
              </w:rPr>
              <w:t>含姓名、服務單位、職稱</w:t>
            </w:r>
            <w:r w:rsidRPr="005937C0">
              <w:rPr>
                <w:rFonts w:ascii="標楷體" w:eastAsia="標楷體" w:hAnsi="標楷體"/>
                <w:b/>
                <w:szCs w:val="24"/>
              </w:rPr>
              <w:t>)</w:t>
            </w:r>
          </w:p>
        </w:tc>
        <w:tc>
          <w:tcPr>
            <w:tcW w:w="851" w:type="dxa"/>
            <w:vAlign w:val="center"/>
          </w:tcPr>
          <w:p w:rsidR="000C099F" w:rsidRPr="005937C0" w:rsidRDefault="000C099F" w:rsidP="005937C0">
            <w:pPr>
              <w:spacing w:line="360" w:lineRule="exact"/>
              <w:jc w:val="both"/>
              <w:rPr>
                <w:rFonts w:ascii="標楷體" w:eastAsia="標楷體" w:hAnsi="標楷體"/>
                <w:b/>
                <w:szCs w:val="24"/>
              </w:rPr>
            </w:pPr>
            <w:r w:rsidRPr="005937C0">
              <w:rPr>
                <w:rFonts w:ascii="標楷體" w:eastAsia="標楷體" w:hAnsi="標楷體" w:hint="eastAsia"/>
                <w:b/>
                <w:szCs w:val="24"/>
              </w:rPr>
              <w:t>備註</w:t>
            </w:r>
          </w:p>
        </w:tc>
      </w:tr>
      <w:tr w:rsidR="000C099F" w:rsidRPr="005937C0" w:rsidTr="005937C0">
        <w:trPr>
          <w:gridAfter w:val="1"/>
          <w:wAfter w:w="7" w:type="dxa"/>
          <w:trHeight w:val="394"/>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vMerge w:val="restart"/>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人權暨兩公約研習班</w:t>
            </w:r>
          </w:p>
        </w:tc>
        <w:tc>
          <w:tcPr>
            <w:tcW w:w="4536" w:type="dxa"/>
            <w:vAlign w:val="center"/>
          </w:tcPr>
          <w:p w:rsidR="000C099F" w:rsidRPr="005937C0" w:rsidRDefault="000C099F" w:rsidP="005937C0">
            <w:pPr>
              <w:pStyle w:val="ListParagraph"/>
              <w:numPr>
                <w:ilvl w:val="0"/>
                <w:numId w:val="2"/>
              </w:numPr>
              <w:ind w:leftChars="0"/>
              <w:jc w:val="both"/>
              <w:rPr>
                <w:rFonts w:ascii="標楷體" w:eastAsia="標楷體" w:hAnsi="標楷體"/>
                <w:spacing w:val="20"/>
                <w:szCs w:val="24"/>
              </w:rPr>
            </w:pPr>
            <w:r w:rsidRPr="005937C0">
              <w:rPr>
                <w:rFonts w:ascii="標楷體" w:eastAsia="標楷體" w:hAnsi="標楷體" w:hint="eastAsia"/>
                <w:spacing w:val="20"/>
                <w:szCs w:val="24"/>
              </w:rPr>
              <w:t>人權暨兩公約內涵介紹</w:t>
            </w:r>
          </w:p>
          <w:p w:rsidR="000C099F" w:rsidRPr="005937C0" w:rsidRDefault="000C099F" w:rsidP="005937C0">
            <w:pPr>
              <w:pStyle w:val="ListParagraph"/>
              <w:numPr>
                <w:ilvl w:val="0"/>
                <w:numId w:val="2"/>
              </w:numPr>
              <w:ind w:leftChars="0"/>
              <w:jc w:val="both"/>
              <w:rPr>
                <w:rFonts w:ascii="標楷體" w:eastAsia="標楷體" w:hAnsi="標楷體"/>
                <w:spacing w:val="20"/>
                <w:szCs w:val="24"/>
              </w:rPr>
            </w:pPr>
            <w:r w:rsidRPr="005937C0">
              <w:rPr>
                <w:rFonts w:ascii="標楷體" w:eastAsia="標楷體" w:hAnsi="標楷體" w:hint="eastAsia"/>
                <w:spacing w:val="20"/>
                <w:szCs w:val="24"/>
              </w:rPr>
              <w:t>公務人員應具備之人權觀念</w:t>
            </w:r>
          </w:p>
        </w:tc>
        <w:tc>
          <w:tcPr>
            <w:tcW w:w="1417"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實體課程</w:t>
            </w: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謝榮堂</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中國文化大學法學院副教授</w:t>
            </w:r>
          </w:p>
        </w:tc>
        <w:tc>
          <w:tcPr>
            <w:tcW w:w="851" w:type="dxa"/>
            <w:vMerge w:val="restart"/>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326"/>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pStyle w:val="ListParagraph"/>
              <w:numPr>
                <w:ilvl w:val="0"/>
                <w:numId w:val="4"/>
              </w:numPr>
              <w:ind w:leftChars="0"/>
              <w:jc w:val="both"/>
              <w:rPr>
                <w:rFonts w:ascii="標楷體" w:eastAsia="標楷體" w:hAnsi="標楷體"/>
                <w:spacing w:val="20"/>
                <w:szCs w:val="24"/>
              </w:rPr>
            </w:pPr>
            <w:r w:rsidRPr="005937C0">
              <w:rPr>
                <w:rFonts w:ascii="標楷體" w:eastAsia="標楷體" w:hAnsi="標楷體" w:hint="eastAsia"/>
                <w:spacing w:val="20"/>
                <w:szCs w:val="24"/>
              </w:rPr>
              <w:t>公民與政治權利國際公約</w:t>
            </w:r>
          </w:p>
          <w:p w:rsidR="000C099F" w:rsidRPr="005937C0" w:rsidRDefault="000C099F" w:rsidP="005937C0">
            <w:pPr>
              <w:pStyle w:val="ListParagraph"/>
              <w:numPr>
                <w:ilvl w:val="0"/>
                <w:numId w:val="4"/>
              </w:numPr>
              <w:ind w:leftChars="0"/>
              <w:jc w:val="both"/>
              <w:rPr>
                <w:rFonts w:ascii="標楷體" w:eastAsia="標楷體" w:hAnsi="標楷體"/>
                <w:spacing w:val="20"/>
                <w:szCs w:val="24"/>
              </w:rPr>
            </w:pPr>
            <w:r w:rsidRPr="005937C0">
              <w:rPr>
                <w:rFonts w:ascii="標楷體" w:eastAsia="標楷體" w:hAnsi="標楷體" w:hint="eastAsia"/>
                <w:spacing w:val="20"/>
                <w:szCs w:val="24"/>
              </w:rPr>
              <w:t>經濟社會文化權利國際公約</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姚孟昌</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輔仁大學學士後法律學系教授</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232"/>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vMerge w:val="restart"/>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人權暨兩公約及其實務研習班</w:t>
            </w:r>
          </w:p>
        </w:tc>
        <w:tc>
          <w:tcPr>
            <w:tcW w:w="4536" w:type="dxa"/>
            <w:vAlign w:val="center"/>
          </w:tcPr>
          <w:p w:rsidR="000C099F" w:rsidRPr="005937C0" w:rsidRDefault="000C099F" w:rsidP="005937C0">
            <w:pPr>
              <w:pStyle w:val="ListParagraph"/>
              <w:numPr>
                <w:ilvl w:val="0"/>
                <w:numId w:val="6"/>
              </w:numPr>
              <w:ind w:leftChars="0"/>
              <w:jc w:val="both"/>
              <w:rPr>
                <w:rFonts w:ascii="標楷體" w:eastAsia="標楷體" w:hAnsi="標楷體"/>
                <w:spacing w:val="20"/>
                <w:szCs w:val="24"/>
              </w:rPr>
            </w:pPr>
            <w:r w:rsidRPr="005937C0">
              <w:rPr>
                <w:rFonts w:ascii="標楷體" w:eastAsia="標楷體" w:hAnsi="標楷體" w:hint="eastAsia"/>
                <w:spacing w:val="20"/>
                <w:szCs w:val="24"/>
              </w:rPr>
              <w:t>憲法、人權及兩公約之內涵</w:t>
            </w:r>
          </w:p>
          <w:p w:rsidR="000C099F" w:rsidRPr="005937C0" w:rsidRDefault="000C099F" w:rsidP="005937C0">
            <w:pPr>
              <w:pStyle w:val="ListParagraph"/>
              <w:numPr>
                <w:ilvl w:val="0"/>
                <w:numId w:val="6"/>
              </w:numPr>
              <w:ind w:leftChars="0"/>
              <w:jc w:val="both"/>
              <w:rPr>
                <w:rFonts w:ascii="標楷體" w:eastAsia="標楷體" w:hAnsi="標楷體"/>
                <w:spacing w:val="20"/>
                <w:szCs w:val="24"/>
              </w:rPr>
            </w:pPr>
            <w:r w:rsidRPr="005937C0">
              <w:rPr>
                <w:rFonts w:ascii="標楷體" w:eastAsia="標楷體" w:hAnsi="標楷體" w:hint="eastAsia"/>
                <w:spacing w:val="20"/>
                <w:szCs w:val="24"/>
              </w:rPr>
              <w:t>兩公約重點條文釋義</w:t>
            </w:r>
          </w:p>
          <w:p w:rsidR="000C099F" w:rsidRPr="005937C0" w:rsidRDefault="000C099F" w:rsidP="005937C0">
            <w:pPr>
              <w:pStyle w:val="ListParagraph"/>
              <w:numPr>
                <w:ilvl w:val="0"/>
                <w:numId w:val="6"/>
              </w:numPr>
              <w:ind w:leftChars="0"/>
              <w:jc w:val="both"/>
              <w:rPr>
                <w:rFonts w:ascii="標楷體" w:eastAsia="標楷體" w:hAnsi="標楷體"/>
                <w:spacing w:val="20"/>
                <w:szCs w:val="24"/>
              </w:rPr>
            </w:pPr>
            <w:r w:rsidRPr="005937C0">
              <w:rPr>
                <w:rFonts w:ascii="標楷體" w:eastAsia="標楷體" w:hAnsi="標楷體" w:hint="eastAsia"/>
                <w:spacing w:val="20"/>
                <w:szCs w:val="24"/>
              </w:rPr>
              <w:t>案例研析與專題討論</w:t>
            </w:r>
          </w:p>
          <w:p w:rsidR="000C099F" w:rsidRPr="005937C0" w:rsidRDefault="000C099F" w:rsidP="005937C0">
            <w:pPr>
              <w:pStyle w:val="ListParagraph"/>
              <w:numPr>
                <w:ilvl w:val="0"/>
                <w:numId w:val="6"/>
              </w:numPr>
              <w:ind w:leftChars="0"/>
              <w:jc w:val="both"/>
              <w:rPr>
                <w:rFonts w:ascii="標楷體" w:eastAsia="標楷體" w:hAnsi="標楷體"/>
                <w:spacing w:val="20"/>
                <w:szCs w:val="24"/>
              </w:rPr>
            </w:pPr>
            <w:r w:rsidRPr="005937C0">
              <w:rPr>
                <w:rFonts w:ascii="標楷體" w:eastAsia="標楷體" w:hAnsi="標楷體" w:hint="eastAsia"/>
                <w:spacing w:val="20"/>
                <w:szCs w:val="24"/>
              </w:rPr>
              <w:t>與</w:t>
            </w:r>
            <w:r w:rsidRPr="005937C0">
              <w:rPr>
                <w:rFonts w:ascii="標楷體" w:eastAsia="標楷體" w:hAnsi="標楷體"/>
                <w:spacing w:val="20"/>
                <w:szCs w:val="24"/>
              </w:rPr>
              <w:t>NGO</w:t>
            </w:r>
            <w:r w:rsidRPr="005937C0">
              <w:rPr>
                <w:rFonts w:ascii="標楷體" w:eastAsia="標楷體" w:hAnsi="標楷體" w:hint="eastAsia"/>
                <w:spacing w:val="20"/>
                <w:szCs w:val="24"/>
              </w:rPr>
              <w:t>對話</w:t>
            </w:r>
          </w:p>
          <w:p w:rsidR="000C099F" w:rsidRPr="005937C0" w:rsidRDefault="000C099F" w:rsidP="005937C0">
            <w:pPr>
              <w:pStyle w:val="ListParagraph"/>
              <w:numPr>
                <w:ilvl w:val="0"/>
                <w:numId w:val="6"/>
              </w:numPr>
              <w:ind w:leftChars="0"/>
              <w:jc w:val="both"/>
              <w:rPr>
                <w:rFonts w:ascii="標楷體" w:eastAsia="標楷體" w:hAnsi="標楷體"/>
                <w:spacing w:val="20"/>
                <w:szCs w:val="24"/>
              </w:rPr>
            </w:pPr>
            <w:r w:rsidRPr="005937C0">
              <w:rPr>
                <w:rFonts w:ascii="標楷體" w:eastAsia="標楷體" w:hAnsi="標楷體" w:hint="eastAsia"/>
                <w:spacing w:val="20"/>
                <w:szCs w:val="24"/>
              </w:rPr>
              <w:t>檢討與回饋</w:t>
            </w:r>
          </w:p>
        </w:tc>
        <w:tc>
          <w:tcPr>
            <w:tcW w:w="1417"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實體課程</w:t>
            </w: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姚孟昌</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輔仁大學學士後法律學系教授</w:t>
            </w:r>
          </w:p>
        </w:tc>
        <w:tc>
          <w:tcPr>
            <w:tcW w:w="851" w:type="dxa"/>
            <w:vMerge w:val="restart"/>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231"/>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pStyle w:val="ListParagraph"/>
              <w:numPr>
                <w:ilvl w:val="0"/>
                <w:numId w:val="5"/>
              </w:numPr>
              <w:ind w:leftChars="0"/>
              <w:jc w:val="both"/>
              <w:rPr>
                <w:rFonts w:ascii="標楷體" w:eastAsia="標楷體" w:hAnsi="標楷體"/>
                <w:spacing w:val="20"/>
                <w:szCs w:val="24"/>
              </w:rPr>
            </w:pPr>
            <w:r w:rsidRPr="005937C0">
              <w:rPr>
                <w:rFonts w:ascii="標楷體" w:eastAsia="標楷體" w:hAnsi="標楷體" w:hint="eastAsia"/>
                <w:spacing w:val="20"/>
                <w:szCs w:val="24"/>
              </w:rPr>
              <w:t>憲法、人權及兩公約之內涵</w:t>
            </w:r>
          </w:p>
          <w:p w:rsidR="000C099F" w:rsidRPr="005937C0" w:rsidRDefault="000C099F" w:rsidP="005937C0">
            <w:pPr>
              <w:pStyle w:val="ListParagraph"/>
              <w:numPr>
                <w:ilvl w:val="0"/>
                <w:numId w:val="5"/>
              </w:numPr>
              <w:ind w:leftChars="0"/>
              <w:jc w:val="both"/>
              <w:rPr>
                <w:rFonts w:ascii="標楷體" w:eastAsia="標楷體" w:hAnsi="標楷體"/>
                <w:szCs w:val="24"/>
              </w:rPr>
            </w:pPr>
            <w:r w:rsidRPr="005937C0">
              <w:rPr>
                <w:rFonts w:ascii="標楷體" w:eastAsia="標楷體" w:hAnsi="標楷體" w:hint="eastAsia"/>
                <w:spacing w:val="20"/>
                <w:szCs w:val="24"/>
              </w:rPr>
              <w:t>兩公約重點條文釋義</w:t>
            </w:r>
          </w:p>
          <w:p w:rsidR="000C099F" w:rsidRPr="005937C0" w:rsidRDefault="000C099F" w:rsidP="005937C0">
            <w:pPr>
              <w:pStyle w:val="ListParagraph"/>
              <w:numPr>
                <w:ilvl w:val="0"/>
                <w:numId w:val="5"/>
              </w:numPr>
              <w:ind w:leftChars="0"/>
              <w:jc w:val="both"/>
              <w:rPr>
                <w:rFonts w:ascii="標楷體" w:eastAsia="標楷體" w:hAnsi="標楷體"/>
                <w:spacing w:val="20"/>
                <w:szCs w:val="24"/>
              </w:rPr>
            </w:pPr>
            <w:r w:rsidRPr="005937C0">
              <w:rPr>
                <w:rFonts w:ascii="標楷體" w:eastAsia="標楷體" w:hAnsi="標楷體" w:hint="eastAsia"/>
                <w:spacing w:val="20"/>
                <w:szCs w:val="24"/>
              </w:rPr>
              <w:t>案例研析與專題討論</w:t>
            </w:r>
          </w:p>
          <w:p w:rsidR="000C099F" w:rsidRPr="005937C0" w:rsidRDefault="000C099F" w:rsidP="005937C0">
            <w:pPr>
              <w:pStyle w:val="ListParagraph"/>
              <w:numPr>
                <w:ilvl w:val="0"/>
                <w:numId w:val="5"/>
              </w:numPr>
              <w:ind w:leftChars="0"/>
              <w:jc w:val="both"/>
              <w:rPr>
                <w:rFonts w:ascii="標楷體" w:eastAsia="標楷體" w:hAnsi="標楷體"/>
                <w:spacing w:val="20"/>
                <w:szCs w:val="24"/>
              </w:rPr>
            </w:pPr>
            <w:r w:rsidRPr="005937C0">
              <w:rPr>
                <w:rFonts w:ascii="標楷體" w:eastAsia="標楷體" w:hAnsi="標楷體" w:hint="eastAsia"/>
                <w:spacing w:val="20"/>
                <w:szCs w:val="24"/>
              </w:rPr>
              <w:t>與</w:t>
            </w:r>
            <w:r w:rsidRPr="005937C0">
              <w:rPr>
                <w:rFonts w:ascii="標楷體" w:eastAsia="標楷體" w:hAnsi="標楷體"/>
                <w:spacing w:val="20"/>
                <w:szCs w:val="24"/>
              </w:rPr>
              <w:t>NGO</w:t>
            </w:r>
            <w:r w:rsidRPr="005937C0">
              <w:rPr>
                <w:rFonts w:ascii="標楷體" w:eastAsia="標楷體" w:hAnsi="標楷體" w:hint="eastAsia"/>
                <w:spacing w:val="20"/>
                <w:szCs w:val="24"/>
              </w:rPr>
              <w:t>對話</w:t>
            </w:r>
          </w:p>
          <w:p w:rsidR="000C099F" w:rsidRPr="005937C0" w:rsidRDefault="000C099F" w:rsidP="005937C0">
            <w:pPr>
              <w:pStyle w:val="ListParagraph"/>
              <w:numPr>
                <w:ilvl w:val="0"/>
                <w:numId w:val="5"/>
              </w:numPr>
              <w:ind w:leftChars="0"/>
              <w:jc w:val="both"/>
              <w:rPr>
                <w:rFonts w:ascii="標楷體" w:eastAsia="標楷體" w:hAnsi="標楷體"/>
                <w:spacing w:val="20"/>
                <w:szCs w:val="24"/>
              </w:rPr>
            </w:pPr>
            <w:r w:rsidRPr="005937C0">
              <w:rPr>
                <w:rFonts w:ascii="標楷體" w:eastAsia="標楷體" w:hAnsi="標楷體" w:hint="eastAsia"/>
                <w:spacing w:val="20"/>
                <w:szCs w:val="24"/>
              </w:rPr>
              <w:t>檢討與回饋</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廖福特</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中央研究院法律學研究所研究員</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480"/>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Merge w:val="restart"/>
            <w:vAlign w:val="center"/>
          </w:tcPr>
          <w:p w:rsidR="000C099F" w:rsidRPr="005937C0" w:rsidRDefault="000C099F" w:rsidP="005937C0">
            <w:pPr>
              <w:pStyle w:val="ListParagraph"/>
              <w:numPr>
                <w:ilvl w:val="0"/>
                <w:numId w:val="7"/>
              </w:numPr>
              <w:ind w:leftChars="0"/>
              <w:jc w:val="both"/>
              <w:rPr>
                <w:rFonts w:ascii="標楷體" w:eastAsia="標楷體" w:hAnsi="標楷體"/>
                <w:spacing w:val="20"/>
                <w:szCs w:val="24"/>
              </w:rPr>
            </w:pPr>
            <w:r w:rsidRPr="005937C0">
              <w:rPr>
                <w:rFonts w:ascii="標楷體" w:eastAsia="標楷體" w:hAnsi="標楷體" w:hint="eastAsia"/>
                <w:spacing w:val="20"/>
                <w:szCs w:val="24"/>
              </w:rPr>
              <w:t>案例研析與專題討論</w:t>
            </w:r>
          </w:p>
          <w:p w:rsidR="000C099F" w:rsidRPr="005937C0" w:rsidRDefault="000C099F" w:rsidP="005937C0">
            <w:pPr>
              <w:pStyle w:val="ListParagraph"/>
              <w:numPr>
                <w:ilvl w:val="0"/>
                <w:numId w:val="7"/>
              </w:numPr>
              <w:ind w:leftChars="0"/>
              <w:jc w:val="both"/>
              <w:rPr>
                <w:rFonts w:ascii="標楷體" w:eastAsia="標楷體" w:hAnsi="標楷體"/>
                <w:spacing w:val="20"/>
                <w:szCs w:val="24"/>
              </w:rPr>
            </w:pPr>
            <w:r w:rsidRPr="005937C0">
              <w:rPr>
                <w:rFonts w:ascii="標楷體" w:eastAsia="標楷體" w:hAnsi="標楷體" w:hint="eastAsia"/>
                <w:spacing w:val="20"/>
                <w:szCs w:val="24"/>
              </w:rPr>
              <w:t>與</w:t>
            </w:r>
            <w:r w:rsidRPr="005937C0">
              <w:rPr>
                <w:rFonts w:ascii="標楷體" w:eastAsia="標楷體" w:hAnsi="標楷體"/>
                <w:spacing w:val="20"/>
                <w:szCs w:val="24"/>
              </w:rPr>
              <w:t>NGO</w:t>
            </w:r>
            <w:r w:rsidRPr="005937C0">
              <w:rPr>
                <w:rFonts w:ascii="標楷體" w:eastAsia="標楷體" w:hAnsi="標楷體" w:hint="eastAsia"/>
                <w:spacing w:val="20"/>
                <w:szCs w:val="24"/>
              </w:rPr>
              <w:t>對話</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郭銘禮</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法務部檢察官</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229"/>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Merge/>
            <w:vAlign w:val="center"/>
          </w:tcPr>
          <w:p w:rsidR="000C099F" w:rsidRPr="005937C0" w:rsidRDefault="000C099F" w:rsidP="005937C0">
            <w:pPr>
              <w:pStyle w:val="ListParagraph"/>
              <w:numPr>
                <w:ilvl w:val="0"/>
                <w:numId w:val="7"/>
              </w:numPr>
              <w:ind w:leftChars="0"/>
              <w:jc w:val="both"/>
              <w:rPr>
                <w:rFonts w:ascii="標楷體" w:eastAsia="標楷體" w:hAnsi="標楷體"/>
                <w:spacing w:val="20"/>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邱伊翎</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台灣人權促進會執行秘書</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244"/>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Merge w:val="restart"/>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pacing w:val="20"/>
                <w:szCs w:val="24"/>
              </w:rPr>
              <w:t>案例研析與專題討論</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陳惠敏</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國立臺灣大學社會系教授</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312"/>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Merge/>
            <w:vAlign w:val="center"/>
          </w:tcPr>
          <w:p w:rsidR="000C099F" w:rsidRPr="005937C0" w:rsidRDefault="000C099F" w:rsidP="005937C0">
            <w:pPr>
              <w:jc w:val="both"/>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李兆環</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得聲法律事務所律師</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546"/>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Merge w:val="restart"/>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與</w:t>
            </w:r>
            <w:r w:rsidRPr="005937C0">
              <w:rPr>
                <w:rFonts w:ascii="標楷體" w:eastAsia="標楷體" w:hAnsi="標楷體"/>
                <w:spacing w:val="20"/>
                <w:szCs w:val="24"/>
              </w:rPr>
              <w:t>NGO</w:t>
            </w:r>
            <w:r w:rsidRPr="005937C0">
              <w:rPr>
                <w:rFonts w:ascii="標楷體" w:eastAsia="標楷體" w:hAnsi="標楷體" w:hint="eastAsia"/>
                <w:spacing w:val="20"/>
                <w:szCs w:val="24"/>
              </w:rPr>
              <w:t>對話</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羅士翔</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台灣監所改革聯盟執行長</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156"/>
        </w:trPr>
        <w:tc>
          <w:tcPr>
            <w:tcW w:w="709" w:type="dxa"/>
            <w:vMerge/>
            <w:vAlign w:val="center"/>
          </w:tcPr>
          <w:p w:rsidR="000C099F" w:rsidRPr="005937C0" w:rsidRDefault="000C099F" w:rsidP="005937C0">
            <w:pPr>
              <w:jc w:val="both"/>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Merge/>
            <w:vAlign w:val="center"/>
          </w:tcPr>
          <w:p w:rsidR="000C099F" w:rsidRPr="005937C0" w:rsidRDefault="000C099F" w:rsidP="005937C0">
            <w:pPr>
              <w:jc w:val="both"/>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陳菀菁</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善牧基金會防治人口販運及相關國外事務辦公室主任</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145"/>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vMerge w:val="restart"/>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人權影響評估運用於中長程計畫審議研習班</w:t>
            </w: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人權影響評估運用於中長程計畫審議</w:t>
            </w:r>
          </w:p>
        </w:tc>
        <w:tc>
          <w:tcPr>
            <w:tcW w:w="1417"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實體課程</w:t>
            </w: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鄧衍森</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東吳大學法律系教授</w:t>
            </w:r>
          </w:p>
        </w:tc>
        <w:tc>
          <w:tcPr>
            <w:tcW w:w="851" w:type="dxa"/>
            <w:vMerge w:val="restart"/>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64"/>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兩公約運用於中長程計畫審議</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國立中正大學財經法律學系特聘教授</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286"/>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vMerge w:val="restart"/>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人權影響評估運用於法案審議研習班</w:t>
            </w: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人權影響評估</w:t>
            </w:r>
          </w:p>
        </w:tc>
        <w:tc>
          <w:tcPr>
            <w:tcW w:w="1417"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實體課程</w:t>
            </w: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彭坤業</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法務部法制司司長</w:t>
            </w:r>
          </w:p>
        </w:tc>
        <w:tc>
          <w:tcPr>
            <w:tcW w:w="851" w:type="dxa"/>
            <w:vMerge w:val="restart"/>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251"/>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經濟社會文化權利公約</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姚孟昌</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輔仁大學學士後法律學系教授</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361"/>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公民與政治權利國際公約</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國立中正大學財經法律學系特聘教授</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407"/>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「法案及性別影響評估檢視表」有關對人權影響之填寫說明</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王晶英</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法務部法制司科長</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gridAfter w:val="1"/>
          <w:wAfter w:w="7" w:type="dxa"/>
          <w:trHeight w:val="326"/>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vAlign w:val="center"/>
          </w:tcPr>
          <w:p w:rsidR="000C099F" w:rsidRPr="005937C0" w:rsidRDefault="000C099F" w:rsidP="005937C0">
            <w:pPr>
              <w:jc w:val="both"/>
              <w:rPr>
                <w:rFonts w:ascii="標楷體" w:eastAsia="標楷體" w:hAnsi="標楷體"/>
                <w:szCs w:val="24"/>
              </w:rPr>
            </w:pPr>
          </w:p>
        </w:tc>
        <w:tc>
          <w:tcPr>
            <w:tcW w:w="4536" w:type="dxa"/>
            <w:vAlign w:val="center"/>
          </w:tcPr>
          <w:p w:rsidR="000C099F" w:rsidRPr="005937C0" w:rsidRDefault="000C099F" w:rsidP="005937C0">
            <w:pPr>
              <w:jc w:val="both"/>
              <w:rPr>
                <w:rFonts w:ascii="標楷體" w:eastAsia="標楷體" w:hAnsi="標楷體"/>
                <w:spacing w:val="20"/>
                <w:szCs w:val="24"/>
              </w:rPr>
            </w:pPr>
            <w:r w:rsidRPr="005937C0">
              <w:rPr>
                <w:rFonts w:ascii="標楷體" w:eastAsia="標楷體" w:hAnsi="標楷體" w:hint="eastAsia"/>
                <w:spacing w:val="20"/>
                <w:szCs w:val="24"/>
              </w:rPr>
              <w:t>「法案及性別影響評估檢視表」有關對人權影響之填寫說明</w:t>
            </w:r>
          </w:p>
        </w:tc>
        <w:tc>
          <w:tcPr>
            <w:tcW w:w="1417" w:type="dxa"/>
            <w:vMerge/>
            <w:vAlign w:val="center"/>
          </w:tcPr>
          <w:p w:rsidR="000C099F" w:rsidRPr="005937C0" w:rsidRDefault="000C099F" w:rsidP="005937C0">
            <w:pPr>
              <w:jc w:val="center"/>
              <w:rPr>
                <w:rFonts w:ascii="標楷體" w:eastAsia="標楷體" w:hAnsi="標楷體"/>
                <w:szCs w:val="24"/>
              </w:rPr>
            </w:pPr>
          </w:p>
        </w:tc>
        <w:tc>
          <w:tcPr>
            <w:tcW w:w="1276"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劉英秀</w:t>
            </w:r>
          </w:p>
        </w:tc>
        <w:tc>
          <w:tcPr>
            <w:tcW w:w="3969"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法務部法制司專門委員</w:t>
            </w:r>
          </w:p>
        </w:tc>
        <w:tc>
          <w:tcPr>
            <w:tcW w:w="851" w:type="dxa"/>
            <w:vMerge/>
            <w:vAlign w:val="center"/>
          </w:tcPr>
          <w:p w:rsidR="000C099F" w:rsidRPr="005937C0" w:rsidRDefault="000C099F" w:rsidP="005937C0">
            <w:pPr>
              <w:jc w:val="both"/>
              <w:rPr>
                <w:rFonts w:ascii="標楷體" w:eastAsia="標楷體" w:hAnsi="標楷體"/>
                <w:szCs w:val="24"/>
              </w:rPr>
            </w:pPr>
          </w:p>
        </w:tc>
      </w:tr>
      <w:tr w:rsidR="000C099F" w:rsidRPr="005937C0" w:rsidTr="005937C0">
        <w:trPr>
          <w:trHeight w:val="397"/>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強化國際參與－人權公約在歐盟之實踐專題演講（法務部提供）</w:t>
            </w:r>
          </w:p>
        </w:tc>
        <w:tc>
          <w:tcPr>
            <w:tcW w:w="4536" w:type="dxa"/>
            <w:vAlign w:val="center"/>
          </w:tcPr>
          <w:p w:rsidR="000C099F" w:rsidRPr="005937C0" w:rsidRDefault="000C099F" w:rsidP="005937C0">
            <w:pPr>
              <w:ind w:leftChars="-45" w:left="-108"/>
              <w:jc w:val="both"/>
              <w:rPr>
                <w:rFonts w:ascii="標楷體" w:eastAsia="標楷體" w:hAnsi="標楷體"/>
              </w:rPr>
            </w:pPr>
            <w:r w:rsidRPr="005937C0">
              <w:rPr>
                <w:rFonts w:ascii="標楷體" w:eastAsia="標楷體" w:hAnsi="標楷體" w:hint="eastAsia"/>
              </w:rPr>
              <w:t>邀請英、法兩國司法官分別就「公民與政治權利國際公約在國內法之適用」及「法國如何具體落實公民與政治權利國際公約及其他國際人權標準」進行演說，以瞭解歐洲人權先進國家對人權保障之標準，及參考其推動落實人權公約之經驗，以提供學習者對於公民與政治權利國際公約及其他國際人權標準之認識，並啟發學習者對我國人權保障工作之省思與重視。</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Justice Black</w:t>
            </w:r>
          </w:p>
          <w:p w:rsidR="000C099F" w:rsidRPr="005937C0" w:rsidRDefault="000C099F" w:rsidP="005937C0">
            <w:pPr>
              <w:jc w:val="center"/>
              <w:rPr>
                <w:rFonts w:ascii="標楷體" w:eastAsia="標楷體" w:hAnsi="標楷體"/>
              </w:rPr>
            </w:pPr>
            <w:r w:rsidRPr="005937C0">
              <w:rPr>
                <w:rFonts w:ascii="標楷體" w:eastAsia="標楷體" w:hAnsi="標楷體" w:hint="eastAsia"/>
              </w:rPr>
              <w:t>等人</w:t>
            </w:r>
          </w:p>
        </w:tc>
        <w:tc>
          <w:tcPr>
            <w:tcW w:w="3969"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英國移民暨難民上訴法庭庭長</w:t>
            </w:r>
          </w:p>
        </w:tc>
        <w:tc>
          <w:tcPr>
            <w:tcW w:w="858" w:type="dxa"/>
            <w:gridSpan w:val="2"/>
            <w:vAlign w:val="center"/>
          </w:tcPr>
          <w:p w:rsidR="000C099F" w:rsidRPr="005937C0" w:rsidRDefault="000C099F" w:rsidP="005937C0">
            <w:pPr>
              <w:widowControl/>
              <w:jc w:val="both"/>
              <w:rPr>
                <w:rFonts w:ascii="標楷體" w:eastAsia="標楷體" w:hAnsi="標楷體"/>
              </w:rPr>
            </w:pPr>
          </w:p>
        </w:tc>
      </w:tr>
      <w:tr w:rsidR="000C099F" w:rsidRPr="005937C0" w:rsidTr="005937C0">
        <w:trPr>
          <w:trHeight w:val="1849"/>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人權暨兩公約法內涵介紹</w:t>
            </w:r>
          </w:p>
        </w:tc>
        <w:tc>
          <w:tcPr>
            <w:tcW w:w="4536" w:type="dxa"/>
            <w:vAlign w:val="center"/>
          </w:tcPr>
          <w:p w:rsidR="000C099F" w:rsidRPr="005937C0" w:rsidRDefault="000C099F" w:rsidP="005937C0">
            <w:pPr>
              <w:ind w:leftChars="-45" w:left="-108"/>
              <w:jc w:val="both"/>
              <w:rPr>
                <w:rFonts w:ascii="標楷體" w:eastAsia="標楷體" w:hAnsi="標楷體"/>
              </w:rPr>
            </w:pPr>
            <w:r w:rsidRPr="005937C0">
              <w:rPr>
                <w:rFonts w:ascii="標楷體" w:eastAsia="標楷體" w:hAnsi="標楷體" w:hint="eastAsia"/>
              </w:rPr>
              <w:t>維護人性尊嚴與尊重人格自由發展，乃自由民主憲政秩序之核心價值，本課程將探討公民與政治權利、經濟社會文化權利國際公約施行法，及在社會國原則下的社會安全制度。</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ind w:leftChars="-45" w:left="-108" w:firstLineChars="50" w:firstLine="120"/>
              <w:jc w:val="center"/>
              <w:rPr>
                <w:rFonts w:ascii="標楷體" w:eastAsia="標楷體" w:hAnsi="標楷體"/>
              </w:rPr>
            </w:pPr>
            <w:r w:rsidRPr="005937C0">
              <w:rPr>
                <w:rFonts w:ascii="標楷體" w:eastAsia="標楷體" w:hAnsi="標楷體" w:hint="eastAsia"/>
              </w:rPr>
              <w:t>謝榮堂</w:t>
            </w:r>
          </w:p>
        </w:tc>
        <w:tc>
          <w:tcPr>
            <w:tcW w:w="3969" w:type="dxa"/>
            <w:vAlign w:val="center"/>
          </w:tcPr>
          <w:p w:rsidR="000C099F" w:rsidRPr="005937C0" w:rsidRDefault="000C099F" w:rsidP="005937C0">
            <w:pPr>
              <w:ind w:leftChars="-45" w:left="-108" w:firstLineChars="50" w:firstLine="120"/>
              <w:jc w:val="both"/>
              <w:rPr>
                <w:rFonts w:ascii="標楷體" w:eastAsia="標楷體" w:hAnsi="標楷體"/>
              </w:rPr>
            </w:pPr>
            <w:r w:rsidRPr="005937C0">
              <w:rPr>
                <w:rFonts w:ascii="標楷體" w:eastAsia="標楷體" w:hAnsi="標楷體" w:hint="eastAsia"/>
              </w:rPr>
              <w:t>中國文化大學法律學系副教授</w:t>
            </w:r>
          </w:p>
        </w:tc>
        <w:tc>
          <w:tcPr>
            <w:tcW w:w="858" w:type="dxa"/>
            <w:gridSpan w:val="2"/>
            <w:vAlign w:val="center"/>
          </w:tcPr>
          <w:p w:rsidR="000C099F" w:rsidRPr="005937C0" w:rsidRDefault="000C099F" w:rsidP="005937C0">
            <w:pPr>
              <w:widowControl/>
              <w:jc w:val="both"/>
              <w:rPr>
                <w:rFonts w:ascii="標楷體" w:eastAsia="標楷體" w:hAnsi="標楷體"/>
              </w:rPr>
            </w:pPr>
          </w:p>
        </w:tc>
      </w:tr>
      <w:tr w:rsidR="000C099F" w:rsidRPr="005937C0" w:rsidTr="005937C0">
        <w:trPr>
          <w:trHeight w:val="1578"/>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兩公約種子培訓營總論講義</w:t>
            </w:r>
            <w:r w:rsidRPr="005937C0">
              <w:rPr>
                <w:rFonts w:ascii="標楷體" w:eastAsia="標楷體" w:hAnsi="標楷體"/>
              </w:rPr>
              <w:t>(</w:t>
            </w:r>
            <w:r w:rsidRPr="005937C0">
              <w:rPr>
                <w:rFonts w:ascii="標楷體" w:eastAsia="標楷體" w:hAnsi="標楷體" w:hint="eastAsia"/>
              </w:rPr>
              <w:t>一</w:t>
            </w:r>
            <w:r w:rsidRPr="005937C0">
              <w:rPr>
                <w:rFonts w:ascii="標楷體" w:eastAsia="標楷體" w:hAnsi="標楷體"/>
              </w:rPr>
              <w:t>)-(</w:t>
            </w:r>
            <w:r w:rsidRPr="005937C0">
              <w:rPr>
                <w:rFonts w:ascii="標楷體" w:eastAsia="標楷體" w:hAnsi="標楷體" w:hint="eastAsia"/>
              </w:rPr>
              <w:t>四</w:t>
            </w:r>
            <w:r w:rsidRPr="005937C0">
              <w:rPr>
                <w:rFonts w:ascii="標楷體" w:eastAsia="標楷體" w:hAnsi="標楷體"/>
              </w:rPr>
              <w:t>)</w:t>
            </w:r>
            <w:r w:rsidRPr="005937C0">
              <w:rPr>
                <w:rFonts w:ascii="標楷體" w:eastAsia="標楷體" w:hAnsi="標楷體" w:hint="eastAsia"/>
              </w:rPr>
              <w:t>（法務部提供）</w:t>
            </w:r>
          </w:p>
        </w:tc>
        <w:tc>
          <w:tcPr>
            <w:tcW w:w="4536" w:type="dxa"/>
            <w:vAlign w:val="center"/>
          </w:tcPr>
          <w:p w:rsidR="000C099F" w:rsidRPr="005937C0" w:rsidRDefault="000C099F" w:rsidP="005937C0">
            <w:pPr>
              <w:ind w:leftChars="-45" w:left="-108"/>
              <w:jc w:val="both"/>
              <w:rPr>
                <w:rFonts w:ascii="標楷體" w:eastAsia="標楷體" w:hAnsi="標楷體"/>
              </w:rPr>
            </w:pPr>
            <w:r w:rsidRPr="005937C0">
              <w:rPr>
                <w:rFonts w:ascii="標楷體" w:eastAsia="標楷體" w:hAnsi="標楷體" w:hint="eastAsia"/>
              </w:rPr>
              <w:t>提供學習者有關兩公約內容與我國簽署、批准及施行兩公約之介紹，以增進學習者對人權保障之瞭解。</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法務部</w:t>
            </w:r>
          </w:p>
        </w:tc>
        <w:tc>
          <w:tcPr>
            <w:tcW w:w="3969" w:type="dxa"/>
            <w:vAlign w:val="center"/>
          </w:tcPr>
          <w:p w:rsidR="000C099F" w:rsidRPr="005937C0" w:rsidRDefault="000C099F" w:rsidP="005937C0">
            <w:pPr>
              <w:jc w:val="both"/>
              <w:rPr>
                <w:rFonts w:ascii="標楷體" w:eastAsia="標楷體" w:hAnsi="標楷體"/>
              </w:rPr>
            </w:pPr>
          </w:p>
        </w:tc>
        <w:tc>
          <w:tcPr>
            <w:tcW w:w="858" w:type="dxa"/>
            <w:gridSpan w:val="2"/>
            <w:vAlign w:val="center"/>
          </w:tcPr>
          <w:p w:rsidR="000C099F" w:rsidRPr="005937C0" w:rsidRDefault="000C099F" w:rsidP="005937C0">
            <w:pPr>
              <w:widowControl/>
              <w:jc w:val="both"/>
              <w:rPr>
                <w:rFonts w:ascii="標楷體" w:eastAsia="標楷體" w:hAnsi="標楷體"/>
              </w:rPr>
            </w:pPr>
          </w:p>
        </w:tc>
      </w:tr>
      <w:tr w:rsidR="000C099F" w:rsidRPr="005937C0" w:rsidTr="005937C0">
        <w:trPr>
          <w:trHeight w:val="558"/>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國際人權概論</w:t>
            </w:r>
          </w:p>
          <w:p w:rsidR="000C099F" w:rsidRPr="005937C0" w:rsidRDefault="000C099F" w:rsidP="005937C0">
            <w:pPr>
              <w:jc w:val="both"/>
              <w:rPr>
                <w:rFonts w:ascii="標楷體" w:eastAsia="標楷體" w:hAnsi="標楷體"/>
              </w:rPr>
            </w:pPr>
          </w:p>
        </w:tc>
        <w:tc>
          <w:tcPr>
            <w:tcW w:w="4536" w:type="dxa"/>
            <w:vAlign w:val="center"/>
          </w:tcPr>
          <w:p w:rsidR="000C099F" w:rsidRPr="005937C0" w:rsidRDefault="000C099F" w:rsidP="005937C0">
            <w:pPr>
              <w:ind w:leftChars="-45" w:left="-108"/>
              <w:jc w:val="both"/>
              <w:rPr>
                <w:rFonts w:ascii="標楷體" w:eastAsia="標楷體" w:hAnsi="標楷體"/>
              </w:rPr>
            </w:pPr>
            <w:r w:rsidRPr="005937C0">
              <w:rPr>
                <w:rFonts w:ascii="標楷體" w:eastAsia="標楷體" w:hAnsi="標楷體" w:hint="eastAsia"/>
              </w:rPr>
              <w:t>本課程以人權之基礎觀念為出發，並介紹影響世界人權觀念的國際人權憲章之內容，包括《世界人權宣言》、《公民與政治權利國際公約》及《經濟社會文化權利國際公約》（簡稱兩公約），課程設計注入互動式的學習元素及生動的實例情境演練，讓學員浸淫在輕鬆活潑的學習氛圍，輕鬆搞定人權概念與內涵。</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廖福特</w:t>
            </w:r>
          </w:p>
        </w:tc>
        <w:tc>
          <w:tcPr>
            <w:tcW w:w="3969"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中央研究院法律學研究所研究員</w:t>
            </w:r>
          </w:p>
        </w:tc>
        <w:tc>
          <w:tcPr>
            <w:tcW w:w="858" w:type="dxa"/>
            <w:gridSpan w:val="2"/>
            <w:vAlign w:val="center"/>
          </w:tcPr>
          <w:p w:rsidR="000C099F" w:rsidRPr="005937C0" w:rsidRDefault="000C099F" w:rsidP="005937C0">
            <w:pPr>
              <w:widowControl/>
              <w:jc w:val="both"/>
              <w:rPr>
                <w:rFonts w:ascii="標楷體" w:eastAsia="標楷體" w:hAnsi="標楷體"/>
              </w:rPr>
            </w:pPr>
          </w:p>
        </w:tc>
      </w:tr>
      <w:tr w:rsidR="000C099F" w:rsidRPr="005937C0" w:rsidTr="005937C0">
        <w:trPr>
          <w:gridAfter w:val="1"/>
          <w:wAfter w:w="7" w:type="dxa"/>
          <w:trHeight w:val="1849"/>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人口販運防制法</w:t>
            </w:r>
            <w:r w:rsidRPr="005937C0">
              <w:rPr>
                <w:rFonts w:ascii="標楷體" w:eastAsia="標楷體" w:hAnsi="標楷體"/>
              </w:rPr>
              <w:t>(</w:t>
            </w:r>
            <w:r w:rsidRPr="005937C0">
              <w:rPr>
                <w:rFonts w:ascii="標楷體" w:eastAsia="標楷體" w:hAnsi="標楷體" w:hint="eastAsia"/>
              </w:rPr>
              <w:t>內政部入出國及移民署提供</w:t>
            </w:r>
            <w:r w:rsidRPr="005937C0">
              <w:rPr>
                <w:rFonts w:ascii="標楷體" w:eastAsia="標楷體" w:hAnsi="標楷體"/>
              </w:rPr>
              <w:t>)</w:t>
            </w:r>
          </w:p>
        </w:tc>
        <w:tc>
          <w:tcPr>
            <w:tcW w:w="4536" w:type="dxa"/>
            <w:vAlign w:val="center"/>
          </w:tcPr>
          <w:p w:rsidR="000C099F" w:rsidRPr="005937C0" w:rsidRDefault="000C099F" w:rsidP="005937C0">
            <w:pPr>
              <w:ind w:leftChars="-45" w:left="-108"/>
              <w:jc w:val="both"/>
              <w:rPr>
                <w:rFonts w:ascii="標楷體" w:eastAsia="標楷體" w:hAnsi="標楷體"/>
              </w:rPr>
            </w:pPr>
            <w:r w:rsidRPr="005937C0">
              <w:rPr>
                <w:rFonts w:ascii="標楷體" w:eastAsia="標楷體" w:hAnsi="標楷體" w:hint="eastAsia"/>
              </w:rPr>
              <w:t>為使公務夥伴瞭解防制人口販運的相關理念與作法及有效防制國際間之人口販運犯罪，本課程為內容介紹</w:t>
            </w:r>
            <w:r w:rsidRPr="005937C0">
              <w:rPr>
                <w:rFonts w:ascii="標楷體" w:eastAsia="標楷體" w:hAnsi="標楷體"/>
              </w:rPr>
              <w:t>98</w:t>
            </w:r>
            <w:r w:rsidRPr="005937C0">
              <w:rPr>
                <w:rFonts w:ascii="標楷體" w:eastAsia="標楷體" w:hAnsi="標楷體" w:hint="eastAsia"/>
              </w:rPr>
              <w:t>年</w:t>
            </w:r>
            <w:r w:rsidRPr="005937C0">
              <w:rPr>
                <w:rFonts w:ascii="標楷體" w:eastAsia="標楷體" w:hAnsi="標楷體"/>
              </w:rPr>
              <w:t>6</w:t>
            </w:r>
            <w:r w:rsidRPr="005937C0">
              <w:rPr>
                <w:rFonts w:ascii="標楷體" w:eastAsia="標楷體" w:hAnsi="標楷體" w:hint="eastAsia"/>
              </w:rPr>
              <w:t>月</w:t>
            </w:r>
            <w:r w:rsidRPr="005937C0">
              <w:rPr>
                <w:rFonts w:ascii="標楷體" w:eastAsia="標楷體" w:hAnsi="標楷體"/>
              </w:rPr>
              <w:t>1</w:t>
            </w:r>
            <w:r w:rsidRPr="005937C0">
              <w:rPr>
                <w:rFonts w:ascii="標楷體" w:eastAsia="標楷體" w:hAnsi="標楷體" w:hint="eastAsia"/>
              </w:rPr>
              <w:t>日施行的「人口販運防制法」，以落實保護人口販運被害人，保障人權，提升我國國際形象。</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謝立功</w:t>
            </w:r>
          </w:p>
        </w:tc>
        <w:tc>
          <w:tcPr>
            <w:tcW w:w="3969"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國家安全會議諮詢委員</w:t>
            </w:r>
          </w:p>
        </w:tc>
        <w:tc>
          <w:tcPr>
            <w:tcW w:w="851" w:type="dxa"/>
            <w:vAlign w:val="center"/>
          </w:tcPr>
          <w:p w:rsidR="000C099F" w:rsidRPr="005937C0" w:rsidRDefault="000C099F" w:rsidP="005937C0">
            <w:pPr>
              <w:widowControl/>
              <w:jc w:val="both"/>
              <w:rPr>
                <w:rFonts w:ascii="標楷體" w:eastAsia="標楷體" w:hAnsi="標楷體"/>
              </w:rPr>
            </w:pPr>
          </w:p>
        </w:tc>
      </w:tr>
      <w:tr w:rsidR="000C099F" w:rsidRPr="005937C0" w:rsidTr="005937C0">
        <w:trPr>
          <w:gridAfter w:val="1"/>
          <w:wAfter w:w="7" w:type="dxa"/>
          <w:trHeight w:val="1849"/>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人權新思維．政府有作為</w:t>
            </w:r>
          </w:p>
        </w:tc>
        <w:tc>
          <w:tcPr>
            <w:tcW w:w="4536" w:type="dxa"/>
            <w:vAlign w:val="center"/>
          </w:tcPr>
          <w:p w:rsidR="000C099F" w:rsidRPr="005937C0" w:rsidRDefault="000C099F" w:rsidP="005937C0">
            <w:pPr>
              <w:ind w:leftChars="-37" w:left="-89"/>
              <w:jc w:val="both"/>
              <w:rPr>
                <w:rFonts w:ascii="標楷體" w:eastAsia="標楷體" w:hAnsi="標楷體"/>
              </w:rPr>
            </w:pPr>
            <w:r w:rsidRPr="005937C0">
              <w:rPr>
                <w:rFonts w:ascii="標楷體" w:eastAsia="標楷體" w:hAnsi="標楷體" w:hint="eastAsia"/>
              </w:rPr>
              <w:t>隨著本課程的引導，除了讓您一窺兩公約及兩公約施行法的內涵及公務員應有的認知及作為外，也帶領您思考在我們的生活中擦身而過人權真實案例，讓我們以新思維來省視現行法令與行政作為。</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姚孟昌</w:t>
            </w:r>
          </w:p>
        </w:tc>
        <w:tc>
          <w:tcPr>
            <w:tcW w:w="3969"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輔仁大學學士後法律學系助理教授</w:t>
            </w:r>
          </w:p>
        </w:tc>
        <w:tc>
          <w:tcPr>
            <w:tcW w:w="851" w:type="dxa"/>
            <w:vAlign w:val="center"/>
          </w:tcPr>
          <w:p w:rsidR="000C099F" w:rsidRPr="005937C0" w:rsidRDefault="000C099F" w:rsidP="005937C0">
            <w:pPr>
              <w:widowControl/>
              <w:jc w:val="both"/>
              <w:rPr>
                <w:rFonts w:ascii="標楷體" w:eastAsia="標楷體" w:hAnsi="標楷體"/>
              </w:rPr>
            </w:pPr>
            <w:r w:rsidRPr="005937C0">
              <w:rPr>
                <w:rFonts w:ascii="標楷體" w:eastAsia="標楷體" w:hAnsi="標楷體"/>
              </w:rPr>
              <w:t>103</w:t>
            </w:r>
            <w:r w:rsidRPr="005937C0">
              <w:rPr>
                <w:rFonts w:ascii="標楷體" w:eastAsia="標楷體" w:hAnsi="標楷體" w:hint="eastAsia"/>
              </w:rPr>
              <w:t>年下線修正</w:t>
            </w:r>
          </w:p>
        </w:tc>
      </w:tr>
      <w:tr w:rsidR="000C099F" w:rsidRPr="005937C0" w:rsidTr="005937C0">
        <w:trPr>
          <w:gridAfter w:val="1"/>
          <w:wAfter w:w="7" w:type="dxa"/>
          <w:trHeight w:val="1849"/>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人權大步走─落實兩公約於人權之保障（高雄市政府公務人力發展中心提供）</w:t>
            </w:r>
          </w:p>
        </w:tc>
        <w:tc>
          <w:tcPr>
            <w:tcW w:w="4536" w:type="dxa"/>
            <w:vAlign w:val="center"/>
          </w:tcPr>
          <w:p w:rsidR="000C099F" w:rsidRPr="005937C0" w:rsidRDefault="000C099F" w:rsidP="005937C0">
            <w:pPr>
              <w:ind w:leftChars="-37" w:left="-89"/>
              <w:jc w:val="both"/>
              <w:rPr>
                <w:rFonts w:ascii="標楷體" w:eastAsia="標楷體" w:hAnsi="標楷體"/>
              </w:rPr>
            </w:pPr>
            <w:r w:rsidRPr="005937C0">
              <w:rPr>
                <w:rFonts w:ascii="標楷體" w:eastAsia="標楷體" w:hAnsi="標楷體" w:hint="eastAsia"/>
              </w:rPr>
              <w:t>本課程從當前重視人權的趨勢說起，接著介紹人權的定義、啟蒙發展與內容，並舉出案例進一步深入探討，之後詳述兩公約內容，最後介紹兩公約施行法的目的及相關制度，讓學員對人權與兩公約的意義有更深層的概念。</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廖達琪</w:t>
            </w:r>
          </w:p>
        </w:tc>
        <w:tc>
          <w:tcPr>
            <w:tcW w:w="3969"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國立中山大學政治學研究所教授</w:t>
            </w:r>
          </w:p>
        </w:tc>
        <w:tc>
          <w:tcPr>
            <w:tcW w:w="851" w:type="dxa"/>
            <w:vAlign w:val="center"/>
          </w:tcPr>
          <w:p w:rsidR="000C099F" w:rsidRPr="005937C0" w:rsidRDefault="000C099F" w:rsidP="005937C0">
            <w:pPr>
              <w:widowControl/>
              <w:jc w:val="both"/>
              <w:rPr>
                <w:rFonts w:ascii="標楷體" w:eastAsia="標楷體" w:hAnsi="標楷體"/>
              </w:rPr>
            </w:pPr>
          </w:p>
        </w:tc>
      </w:tr>
      <w:tr w:rsidR="000C099F" w:rsidRPr="005937C0" w:rsidTr="005937C0">
        <w:trPr>
          <w:gridAfter w:val="1"/>
          <w:wAfter w:w="7" w:type="dxa"/>
          <w:trHeight w:val="1308"/>
        </w:trPr>
        <w:tc>
          <w:tcPr>
            <w:tcW w:w="709"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rPr>
              <w:t>102</w:t>
            </w:r>
            <w:r w:rsidRPr="005937C0">
              <w:rPr>
                <w:rFonts w:ascii="標楷體" w:eastAsia="標楷體" w:hAnsi="標楷體" w:hint="eastAsia"/>
              </w:rPr>
              <w:t>及</w:t>
            </w:r>
            <w:r w:rsidRPr="005937C0">
              <w:rPr>
                <w:rFonts w:ascii="標楷體" w:eastAsia="標楷體" w:hAnsi="標楷體"/>
              </w:rPr>
              <w:t>103</w:t>
            </w:r>
          </w:p>
        </w:tc>
        <w:tc>
          <w:tcPr>
            <w:tcW w:w="1843"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強化國際參與－人權公約在德國之實踐專題演講</w:t>
            </w:r>
          </w:p>
        </w:tc>
        <w:tc>
          <w:tcPr>
            <w:tcW w:w="4536" w:type="dxa"/>
            <w:vAlign w:val="center"/>
          </w:tcPr>
          <w:p w:rsidR="000C099F" w:rsidRPr="005937C0" w:rsidRDefault="000C099F" w:rsidP="005937C0">
            <w:pPr>
              <w:ind w:leftChars="-38" w:left="-90" w:hanging="1"/>
              <w:jc w:val="both"/>
              <w:rPr>
                <w:rFonts w:ascii="標楷體" w:eastAsia="標楷體" w:hAnsi="標楷體"/>
              </w:rPr>
            </w:pPr>
            <w:r w:rsidRPr="005937C0">
              <w:rPr>
                <w:rFonts w:ascii="標楷體" w:eastAsia="標楷體" w:hAnsi="標楷體" w:hint="eastAsia"/>
              </w:rPr>
              <w:t>邀請德國科隆高等法院副院長施尤登</w:t>
            </w:r>
            <w:r w:rsidRPr="005937C0">
              <w:rPr>
                <w:rFonts w:ascii="標楷體" w:eastAsia="標楷體" w:hAnsi="標楷體"/>
              </w:rPr>
              <w:t>(Christian Schmitz-Justen)</w:t>
            </w:r>
            <w:r w:rsidRPr="005937C0">
              <w:rPr>
                <w:rFonts w:ascii="標楷體" w:eastAsia="標楷體" w:hAnsi="標楷體" w:hint="eastAsia"/>
              </w:rPr>
              <w:t>，就「公民與政治權利國際公約在德國之適用」發表專題演講，並由玄奘大學法律系系主任葛祥林逐步口譯，以瞭解德國國家人權保障之標準與發展歷程，及其推動落實人權公約的經驗。</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數位課程</w:t>
            </w:r>
          </w:p>
        </w:tc>
        <w:tc>
          <w:tcPr>
            <w:tcW w:w="1276" w:type="dxa"/>
            <w:vAlign w:val="center"/>
          </w:tcPr>
          <w:p w:rsidR="000C099F" w:rsidRPr="005937C0" w:rsidRDefault="000C099F" w:rsidP="005937C0">
            <w:pPr>
              <w:jc w:val="center"/>
              <w:rPr>
                <w:rFonts w:ascii="Times New Roman" w:eastAsia="標楷體" w:hAnsi="Times New Roman"/>
              </w:rPr>
            </w:pPr>
            <w:r w:rsidRPr="005937C0">
              <w:rPr>
                <w:rFonts w:ascii="標楷體" w:eastAsia="標楷體" w:hAnsi="標楷體" w:hint="eastAsia"/>
              </w:rPr>
              <w:t>施尤登</w:t>
            </w:r>
            <w:r w:rsidRPr="005937C0">
              <w:rPr>
                <w:rFonts w:ascii="標楷體" w:eastAsia="標楷體" w:hAnsi="標楷體"/>
              </w:rPr>
              <w:t>(</w:t>
            </w:r>
            <w:r w:rsidRPr="005937C0">
              <w:rPr>
                <w:rFonts w:ascii="Times New Roman" w:eastAsia="標楷體" w:hAnsi="Times New Roman"/>
              </w:rPr>
              <w:t>Christian Schmitz-</w:t>
            </w:r>
          </w:p>
          <w:p w:rsidR="000C099F" w:rsidRPr="005937C0" w:rsidRDefault="000C099F" w:rsidP="005937C0">
            <w:pPr>
              <w:jc w:val="center"/>
              <w:rPr>
                <w:rFonts w:ascii="標楷體" w:eastAsia="標楷體" w:hAnsi="標楷體"/>
              </w:rPr>
            </w:pPr>
            <w:r w:rsidRPr="005937C0">
              <w:rPr>
                <w:rFonts w:ascii="Times New Roman" w:eastAsia="標楷體" w:hAnsi="Times New Roman"/>
              </w:rPr>
              <w:t>Justen</w:t>
            </w:r>
            <w:r w:rsidRPr="005937C0">
              <w:rPr>
                <w:rFonts w:ascii="標楷體" w:eastAsia="標楷體" w:hAnsi="標楷體"/>
              </w:rPr>
              <w:t xml:space="preserve">) </w:t>
            </w:r>
          </w:p>
          <w:p w:rsidR="000C099F" w:rsidRPr="005937C0" w:rsidRDefault="000C099F" w:rsidP="005937C0">
            <w:pPr>
              <w:jc w:val="center"/>
              <w:rPr>
                <w:rFonts w:ascii="標楷體" w:eastAsia="標楷體" w:hAnsi="標楷體"/>
              </w:rPr>
            </w:pPr>
            <w:r w:rsidRPr="005937C0">
              <w:rPr>
                <w:rFonts w:ascii="標楷體" w:eastAsia="標楷體" w:hAnsi="標楷體" w:hint="eastAsia"/>
              </w:rPr>
              <w:t>等人</w:t>
            </w:r>
          </w:p>
        </w:tc>
        <w:tc>
          <w:tcPr>
            <w:tcW w:w="3969" w:type="dxa"/>
            <w:vAlign w:val="center"/>
          </w:tcPr>
          <w:p w:rsidR="000C099F" w:rsidRPr="005937C0" w:rsidRDefault="000C099F" w:rsidP="005937C0">
            <w:pPr>
              <w:jc w:val="both"/>
              <w:rPr>
                <w:rFonts w:ascii="標楷體" w:eastAsia="標楷體" w:hAnsi="標楷體"/>
              </w:rPr>
            </w:pPr>
            <w:r w:rsidRPr="005937C0">
              <w:rPr>
                <w:rFonts w:ascii="標楷體" w:eastAsia="標楷體" w:hAnsi="標楷體" w:hint="eastAsia"/>
              </w:rPr>
              <w:t>德國科隆高等法院副院長</w:t>
            </w:r>
          </w:p>
        </w:tc>
        <w:tc>
          <w:tcPr>
            <w:tcW w:w="851" w:type="dxa"/>
            <w:vAlign w:val="center"/>
          </w:tcPr>
          <w:p w:rsidR="000C099F" w:rsidRPr="005937C0" w:rsidRDefault="000C099F" w:rsidP="005937C0">
            <w:pPr>
              <w:jc w:val="both"/>
              <w:rPr>
                <w:rFonts w:ascii="標楷體" w:eastAsia="標楷體" w:hAnsi="標楷體"/>
              </w:rPr>
            </w:pPr>
          </w:p>
        </w:tc>
      </w:tr>
    </w:tbl>
    <w:p w:rsidR="000C099F" w:rsidRPr="00B02CDA" w:rsidRDefault="000C099F" w:rsidP="001369FE">
      <w:pPr>
        <w:rPr>
          <w:rFonts w:ascii="標楷體" w:eastAsia="標楷體" w:hAnsi="標楷體"/>
          <w:b/>
          <w:sz w:val="28"/>
          <w:szCs w:val="28"/>
        </w:rPr>
      </w:pPr>
      <w:r w:rsidRPr="00B02CDA">
        <w:rPr>
          <w:rFonts w:ascii="標楷體" w:eastAsia="標楷體" w:hAnsi="標楷體" w:hint="eastAsia"/>
          <w:b/>
          <w:sz w:val="28"/>
          <w:szCs w:val="28"/>
        </w:rPr>
        <w:t>二、</w:t>
      </w:r>
      <w:r>
        <w:rPr>
          <w:rFonts w:ascii="標楷體" w:eastAsia="標楷體" w:hAnsi="標楷體" w:hint="eastAsia"/>
          <w:b/>
          <w:sz w:val="28"/>
          <w:szCs w:val="28"/>
        </w:rPr>
        <w:t>行政院人事行政總處</w:t>
      </w:r>
      <w:r w:rsidRPr="00B02CDA">
        <w:rPr>
          <w:rFonts w:ascii="標楷體" w:eastAsia="標楷體" w:hAnsi="標楷體" w:hint="eastAsia"/>
          <w:b/>
          <w:sz w:val="28"/>
          <w:szCs w:val="28"/>
        </w:rPr>
        <w:t>地方行政研習中心提供：</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4536"/>
        <w:gridCol w:w="1417"/>
        <w:gridCol w:w="1134"/>
        <w:gridCol w:w="4961"/>
        <w:gridCol w:w="567"/>
      </w:tblGrid>
      <w:tr w:rsidR="000C099F" w:rsidRPr="005937C0" w:rsidTr="005937C0">
        <w:trPr>
          <w:tblHeader/>
        </w:trPr>
        <w:tc>
          <w:tcPr>
            <w:tcW w:w="709" w:type="dxa"/>
            <w:vAlign w:val="center"/>
          </w:tcPr>
          <w:p w:rsidR="000C099F" w:rsidRPr="005937C0" w:rsidRDefault="000C099F" w:rsidP="005937C0">
            <w:pPr>
              <w:spacing w:line="360" w:lineRule="exact"/>
              <w:jc w:val="both"/>
              <w:rPr>
                <w:rFonts w:ascii="標楷體" w:eastAsia="標楷體" w:hAnsi="標楷體"/>
                <w:b/>
                <w:szCs w:val="24"/>
              </w:rPr>
            </w:pPr>
            <w:r w:rsidRPr="005937C0">
              <w:rPr>
                <w:rFonts w:ascii="標楷體" w:eastAsia="標楷體" w:hAnsi="標楷體" w:hint="eastAsia"/>
                <w:b/>
                <w:szCs w:val="24"/>
              </w:rPr>
              <w:t>年度</w:t>
            </w:r>
          </w:p>
        </w:tc>
        <w:tc>
          <w:tcPr>
            <w:tcW w:w="1843"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課程名稱</w:t>
            </w:r>
          </w:p>
        </w:tc>
        <w:tc>
          <w:tcPr>
            <w:tcW w:w="4536"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課程內容</w:t>
            </w:r>
          </w:p>
        </w:tc>
        <w:tc>
          <w:tcPr>
            <w:tcW w:w="1417" w:type="dxa"/>
            <w:vAlign w:val="center"/>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課程辦理方式</w:t>
            </w:r>
          </w:p>
        </w:tc>
        <w:tc>
          <w:tcPr>
            <w:tcW w:w="6095" w:type="dxa"/>
            <w:gridSpan w:val="2"/>
          </w:tcPr>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hint="eastAsia"/>
                <w:b/>
                <w:szCs w:val="24"/>
              </w:rPr>
              <w:t>講座</w:t>
            </w:r>
          </w:p>
          <w:p w:rsidR="000C099F" w:rsidRPr="005937C0" w:rsidRDefault="000C099F" w:rsidP="005937C0">
            <w:pPr>
              <w:spacing w:line="360" w:lineRule="exact"/>
              <w:jc w:val="center"/>
              <w:rPr>
                <w:rFonts w:ascii="標楷體" w:eastAsia="標楷體" w:hAnsi="標楷體"/>
                <w:b/>
                <w:szCs w:val="24"/>
              </w:rPr>
            </w:pPr>
            <w:r w:rsidRPr="005937C0">
              <w:rPr>
                <w:rFonts w:ascii="標楷體" w:eastAsia="標楷體" w:hAnsi="標楷體"/>
                <w:b/>
                <w:szCs w:val="24"/>
              </w:rPr>
              <w:t>(</w:t>
            </w:r>
            <w:r w:rsidRPr="005937C0">
              <w:rPr>
                <w:rFonts w:ascii="標楷體" w:eastAsia="標楷體" w:hAnsi="標楷體" w:hint="eastAsia"/>
                <w:b/>
                <w:szCs w:val="24"/>
              </w:rPr>
              <w:t>含姓名、服務單位、職稱</w:t>
            </w:r>
            <w:r w:rsidRPr="005937C0">
              <w:rPr>
                <w:rFonts w:ascii="標楷體" w:eastAsia="標楷體" w:hAnsi="標楷體"/>
                <w:b/>
                <w:szCs w:val="24"/>
              </w:rPr>
              <w:t>)</w:t>
            </w:r>
          </w:p>
        </w:tc>
        <w:tc>
          <w:tcPr>
            <w:tcW w:w="567" w:type="dxa"/>
            <w:vAlign w:val="center"/>
          </w:tcPr>
          <w:p w:rsidR="000C099F" w:rsidRPr="005937C0" w:rsidRDefault="000C099F" w:rsidP="005937C0">
            <w:pPr>
              <w:spacing w:line="360" w:lineRule="exact"/>
              <w:jc w:val="both"/>
              <w:rPr>
                <w:rFonts w:ascii="標楷體" w:eastAsia="標楷體" w:hAnsi="標楷體"/>
                <w:b/>
                <w:szCs w:val="24"/>
              </w:rPr>
            </w:pPr>
            <w:r w:rsidRPr="005937C0">
              <w:rPr>
                <w:rFonts w:ascii="標楷體" w:eastAsia="標楷體" w:hAnsi="標楷體" w:hint="eastAsia"/>
                <w:b/>
                <w:szCs w:val="24"/>
              </w:rPr>
              <w:t>備註</w:t>
            </w:r>
          </w:p>
        </w:tc>
      </w:tr>
      <w:tr w:rsidR="000C099F" w:rsidRPr="005937C0" w:rsidTr="005937C0">
        <w:trPr>
          <w:trHeight w:val="1254"/>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103</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公民與政治權利國際公約及經濟社會文化權利國際公約</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公約內容探討及實例解說</w:t>
            </w:r>
          </w:p>
        </w:tc>
        <w:tc>
          <w:tcPr>
            <w:tcW w:w="1417"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蘇詔勤</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長庚大學教授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1254"/>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103</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人權大步走</w:t>
            </w:r>
            <w:r w:rsidRPr="005937C0">
              <w:rPr>
                <w:rFonts w:ascii="標楷體" w:eastAsia="標楷體" w:hAnsi="標楷體"/>
                <w:szCs w:val="24"/>
              </w:rPr>
              <w:t>-</w:t>
            </w:r>
            <w:r w:rsidRPr="005937C0">
              <w:rPr>
                <w:rFonts w:ascii="標楷體" w:eastAsia="標楷體" w:hAnsi="標楷體" w:hint="eastAsia"/>
                <w:szCs w:val="24"/>
              </w:rPr>
              <w:t>落實兩公約</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我國兩公約施行法及實例解說</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呂炳寬</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東海大學行政管理暨政策學系副教授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1254"/>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103</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聯合國身心障礙者權利公約及實務</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公約內容探討及我國實務解說</w:t>
            </w:r>
            <w:r w:rsidRPr="005937C0">
              <w:rPr>
                <w:rFonts w:ascii="標楷體" w:eastAsia="標楷體" w:hAnsi="標楷體"/>
                <w:szCs w:val="24"/>
              </w:rPr>
              <w:t>(</w:t>
            </w:r>
            <w:r w:rsidRPr="005937C0">
              <w:rPr>
                <w:rFonts w:ascii="標楷體" w:eastAsia="標楷體" w:hAnsi="標楷體" w:hint="eastAsia"/>
                <w:szCs w:val="24"/>
              </w:rPr>
              <w:t>含社會福利</w:t>
            </w:r>
            <w:r w:rsidRPr="005937C0">
              <w:rPr>
                <w:rFonts w:ascii="標楷體" w:eastAsia="標楷體" w:hAnsi="標楷體"/>
                <w:szCs w:val="24"/>
              </w:rPr>
              <w:t>)</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任麗華</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中原大學特殊教育系副教授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1254"/>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103</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認識公民與政治權利國際公約實體權利保障規定</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公約內容解說及實質權利保障探討</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廖福特</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中央研究院法律學研究所研究員</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628"/>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及</w:t>
            </w:r>
            <w:r w:rsidRPr="005937C0">
              <w:rPr>
                <w:rFonts w:ascii="標楷體" w:eastAsia="標楷體" w:hAnsi="標楷體"/>
                <w:szCs w:val="24"/>
              </w:rPr>
              <w:t>103</w:t>
            </w:r>
          </w:p>
          <w:p w:rsidR="000C099F" w:rsidRPr="005937C0" w:rsidRDefault="000C099F" w:rsidP="005937C0">
            <w:pPr>
              <w:jc w:val="center"/>
              <w:rPr>
                <w:rFonts w:ascii="標楷體" w:eastAsia="標楷體" w:hAnsi="標楷體"/>
                <w:szCs w:val="24"/>
              </w:rPr>
            </w:pPr>
          </w:p>
        </w:tc>
        <w:tc>
          <w:tcPr>
            <w:tcW w:w="1843"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公民與政治權利國際公約的在地實踐暨案例探討</w:t>
            </w:r>
          </w:p>
        </w:tc>
        <w:tc>
          <w:tcPr>
            <w:tcW w:w="4536"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我國兩公約施行法有關公民與政治權利及其實例解說</w:t>
            </w:r>
          </w:p>
        </w:tc>
        <w:tc>
          <w:tcPr>
            <w:tcW w:w="1417" w:type="dxa"/>
            <w:vMerge w:val="restart"/>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廖福特</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中央研究院法律學研究所研究員</w:t>
            </w:r>
          </w:p>
        </w:tc>
        <w:tc>
          <w:tcPr>
            <w:tcW w:w="567" w:type="dxa"/>
            <w:vMerge w:val="restart"/>
          </w:tcPr>
          <w:p w:rsidR="000C099F" w:rsidRPr="005937C0" w:rsidRDefault="000C099F" w:rsidP="00E564A8">
            <w:pPr>
              <w:rPr>
                <w:rFonts w:ascii="標楷體" w:eastAsia="標楷體" w:hAnsi="標楷體"/>
                <w:szCs w:val="24"/>
              </w:rPr>
            </w:pPr>
          </w:p>
        </w:tc>
      </w:tr>
      <w:tr w:rsidR="000C099F" w:rsidRPr="005937C0" w:rsidTr="005937C0">
        <w:trPr>
          <w:trHeight w:val="880"/>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1254"/>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103</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認識經濟社會文化權利國際公約實體權利保障規定</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公約內容解說及實質權利保障探討</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910"/>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經濟社會文化權利國際公約的在地實踐暨案例探討</w:t>
            </w:r>
          </w:p>
        </w:tc>
        <w:tc>
          <w:tcPr>
            <w:tcW w:w="4536"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我國兩公約施行法有關經濟社會文化權利及其實例解說</w:t>
            </w:r>
          </w:p>
        </w:tc>
        <w:tc>
          <w:tcPr>
            <w:tcW w:w="1417" w:type="dxa"/>
            <w:vMerge w:val="restart"/>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國立中正大學財經法律學系教授</w:t>
            </w:r>
          </w:p>
        </w:tc>
        <w:tc>
          <w:tcPr>
            <w:tcW w:w="567" w:type="dxa"/>
            <w:vMerge w:val="restart"/>
          </w:tcPr>
          <w:p w:rsidR="000C099F" w:rsidRPr="005937C0" w:rsidRDefault="000C099F" w:rsidP="00E564A8">
            <w:pPr>
              <w:rPr>
                <w:rFonts w:ascii="標楷體" w:eastAsia="標楷體" w:hAnsi="標楷體"/>
                <w:szCs w:val="24"/>
              </w:rPr>
            </w:pPr>
          </w:p>
        </w:tc>
      </w:tr>
      <w:tr w:rsidR="000C099F" w:rsidRPr="005937C0" w:rsidTr="005937C0">
        <w:trPr>
          <w:trHeight w:val="760"/>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姚孟昌</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輔仁大學學士後法律學系助理教授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3130"/>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tcPr>
          <w:p w:rsidR="000C099F" w:rsidRPr="005937C0" w:rsidRDefault="000C099F" w:rsidP="005937C0">
            <w:pPr>
              <w:spacing w:line="520" w:lineRule="exact"/>
              <w:rPr>
                <w:rFonts w:ascii="標楷體" w:eastAsia="標楷體" w:hAnsi="標楷體"/>
                <w:szCs w:val="24"/>
              </w:rPr>
            </w:pPr>
            <w:r w:rsidRPr="005937C0">
              <w:rPr>
                <w:rFonts w:ascii="標楷體" w:eastAsia="標楷體" w:hAnsi="標楷體" w:cs="標楷體" w:hint="eastAsia"/>
                <w:bCs/>
                <w:kern w:val="0"/>
                <w:szCs w:val="24"/>
              </w:rPr>
              <w:t>人權大步走</w:t>
            </w:r>
            <w:r w:rsidRPr="005937C0">
              <w:rPr>
                <w:rFonts w:ascii="標楷體" w:eastAsia="標楷體" w:hAnsi="標楷體"/>
                <w:szCs w:val="24"/>
              </w:rPr>
              <w:t>—</w:t>
            </w:r>
          </w:p>
          <w:p w:rsidR="000C099F" w:rsidRPr="005937C0" w:rsidRDefault="000C099F" w:rsidP="005937C0">
            <w:pPr>
              <w:spacing w:line="520" w:lineRule="exact"/>
              <w:rPr>
                <w:rFonts w:ascii="標楷體" w:eastAsia="標楷體" w:hAnsi="標楷體"/>
                <w:szCs w:val="24"/>
              </w:rPr>
            </w:pPr>
            <w:r w:rsidRPr="005937C0">
              <w:rPr>
                <w:rFonts w:ascii="標楷體" w:eastAsia="標楷體" w:hAnsi="標楷體" w:cs="標楷體" w:hint="eastAsia"/>
                <w:bCs/>
                <w:kern w:val="0"/>
                <w:szCs w:val="24"/>
              </w:rPr>
              <w:t>國際人權公約</w:t>
            </w:r>
          </w:p>
        </w:tc>
        <w:tc>
          <w:tcPr>
            <w:tcW w:w="4536" w:type="dxa"/>
          </w:tcPr>
          <w:p w:rsidR="000C099F" w:rsidRPr="005937C0" w:rsidRDefault="000C099F" w:rsidP="005937C0">
            <w:pPr>
              <w:spacing w:line="340" w:lineRule="exact"/>
              <w:ind w:left="480" w:hangingChars="200" w:hanging="480"/>
              <w:rPr>
                <w:rFonts w:ascii="標楷體" w:eastAsia="標楷體" w:hAnsi="標楷體"/>
                <w:szCs w:val="24"/>
              </w:rPr>
            </w:pPr>
            <w:r w:rsidRPr="005937C0">
              <w:rPr>
                <w:rFonts w:ascii="標楷體" w:eastAsia="標楷體" w:hAnsi="標楷體" w:hint="eastAsia"/>
                <w:szCs w:val="24"/>
              </w:rPr>
              <w:t>一、近年來臺灣通過「公民與政治權利國際公約」及「經濟社會文化權利國際公約」（合稱兩公約）沿革說明</w:t>
            </w:r>
          </w:p>
          <w:p w:rsidR="000C099F" w:rsidRPr="005937C0" w:rsidRDefault="000C099F" w:rsidP="005937C0">
            <w:pPr>
              <w:spacing w:line="340" w:lineRule="exact"/>
              <w:ind w:left="480" w:hangingChars="200" w:hanging="480"/>
              <w:rPr>
                <w:rFonts w:ascii="標楷體" w:eastAsia="標楷體" w:hAnsi="標楷體" w:cs="新細明體"/>
                <w:kern w:val="0"/>
                <w:szCs w:val="24"/>
              </w:rPr>
            </w:pPr>
            <w:r w:rsidRPr="005937C0">
              <w:rPr>
                <w:rFonts w:ascii="標楷體" w:eastAsia="標楷體" w:hAnsi="標楷體" w:hint="eastAsia"/>
                <w:szCs w:val="24"/>
              </w:rPr>
              <w:t>二、兩公約內容介紹；同時</w:t>
            </w:r>
            <w:r w:rsidRPr="005937C0">
              <w:rPr>
                <w:rFonts w:ascii="標楷體" w:eastAsia="標楷體" w:hAnsi="標楷體" w:cs="新細明體" w:hint="eastAsia"/>
                <w:kern w:val="0"/>
                <w:szCs w:val="24"/>
              </w:rPr>
              <w:t>以生活化例子介紹人權的意涵，引導了解人權公約的價值與概念。</w:t>
            </w:r>
          </w:p>
          <w:p w:rsidR="000C099F" w:rsidRPr="005937C0" w:rsidRDefault="000C099F" w:rsidP="005937C0">
            <w:pPr>
              <w:spacing w:line="340" w:lineRule="exact"/>
              <w:ind w:left="480" w:hangingChars="200" w:hanging="480"/>
              <w:rPr>
                <w:rFonts w:ascii="標楷體" w:eastAsia="標楷體" w:hAnsi="標楷體"/>
                <w:szCs w:val="24"/>
              </w:rPr>
            </w:pPr>
            <w:r w:rsidRPr="005937C0">
              <w:rPr>
                <w:rFonts w:ascii="標楷體" w:eastAsia="標楷體" w:hAnsi="標楷體" w:cs="新細明體" w:hint="eastAsia"/>
                <w:kern w:val="0"/>
                <w:szCs w:val="24"/>
              </w:rPr>
              <w:t>三、</w:t>
            </w:r>
            <w:r w:rsidRPr="005937C0">
              <w:rPr>
                <w:rFonts w:ascii="標楷體" w:eastAsia="標楷體" w:hAnsi="標楷體" w:hint="eastAsia"/>
                <w:szCs w:val="24"/>
              </w:rPr>
              <w:t>公約內容與實務結合；並與</w:t>
            </w:r>
            <w:r w:rsidRPr="005937C0">
              <w:rPr>
                <w:rFonts w:ascii="標楷體" w:eastAsia="標楷體" w:hAnsi="標楷體" w:cs="新細明體" w:hint="eastAsia"/>
                <w:kern w:val="0"/>
                <w:szCs w:val="24"/>
              </w:rPr>
              <w:t>與學員互動提問。</w:t>
            </w:r>
          </w:p>
        </w:tc>
        <w:tc>
          <w:tcPr>
            <w:tcW w:w="1417" w:type="dxa"/>
            <w:vAlign w:val="center"/>
          </w:tcPr>
          <w:p w:rsidR="000C099F" w:rsidRPr="005937C0" w:rsidRDefault="000C099F" w:rsidP="005937C0">
            <w:pPr>
              <w:jc w:val="center"/>
              <w:rPr>
                <w:rFonts w:ascii="標楷體" w:eastAsia="標楷體" w:hAnsi="標楷體"/>
              </w:rPr>
            </w:pPr>
            <w:r w:rsidRPr="005937C0">
              <w:rPr>
                <w:rFonts w:ascii="標楷體" w:eastAsia="標楷體" w:hAnsi="標楷體" w:hint="eastAsia"/>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蘇詔勤</w:t>
            </w:r>
          </w:p>
        </w:tc>
        <w:tc>
          <w:tcPr>
            <w:tcW w:w="4961" w:type="dxa"/>
            <w:vAlign w:val="center"/>
          </w:tcPr>
          <w:p w:rsidR="000C099F" w:rsidRPr="005937C0" w:rsidRDefault="000C099F" w:rsidP="005937C0">
            <w:pPr>
              <w:jc w:val="both"/>
              <w:rPr>
                <w:rFonts w:ascii="標楷體" w:eastAsia="標楷體" w:hAnsi="標楷體"/>
                <w:b/>
                <w:color w:val="002060"/>
                <w:szCs w:val="24"/>
              </w:rPr>
            </w:pPr>
            <w:r w:rsidRPr="005937C0">
              <w:rPr>
                <w:rFonts w:ascii="標楷體" w:eastAsia="標楷體" w:hAnsi="標楷體" w:hint="eastAsia"/>
                <w:szCs w:val="24"/>
              </w:rPr>
              <w:t>長庚大學教授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400"/>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103</w:t>
            </w:r>
          </w:p>
        </w:tc>
        <w:tc>
          <w:tcPr>
            <w:tcW w:w="1843"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人權公約與臺灣實踐</w:t>
            </w:r>
          </w:p>
        </w:tc>
        <w:tc>
          <w:tcPr>
            <w:tcW w:w="4536"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一、人權於國際發展趨勢</w:t>
            </w:r>
          </w:p>
          <w:p w:rsidR="000C099F" w:rsidRPr="005937C0" w:rsidRDefault="000C099F" w:rsidP="005937C0">
            <w:pPr>
              <w:ind w:left="480" w:hangingChars="200" w:hanging="480"/>
              <w:rPr>
                <w:rFonts w:ascii="標楷體" w:eastAsia="標楷體" w:hAnsi="標楷體"/>
                <w:szCs w:val="24"/>
              </w:rPr>
            </w:pPr>
            <w:r w:rsidRPr="005937C0">
              <w:rPr>
                <w:rFonts w:ascii="標楷體" w:eastAsia="標楷體" w:hAnsi="標楷體" w:hint="eastAsia"/>
                <w:szCs w:val="24"/>
              </w:rPr>
              <w:t>二、台灣對於人權公約之規劃與實踐</w:t>
            </w:r>
          </w:p>
          <w:p w:rsidR="000C099F" w:rsidRPr="005937C0" w:rsidRDefault="000C099F" w:rsidP="005937C0">
            <w:pPr>
              <w:ind w:left="480" w:hangingChars="200" w:hanging="480"/>
              <w:rPr>
                <w:rFonts w:ascii="標楷體" w:eastAsia="標楷體" w:hAnsi="標楷體"/>
                <w:szCs w:val="24"/>
              </w:rPr>
            </w:pPr>
            <w:r w:rsidRPr="005937C0">
              <w:rPr>
                <w:rFonts w:ascii="標楷體" w:eastAsia="標楷體" w:hAnsi="標楷體" w:hint="eastAsia"/>
                <w:szCs w:val="24"/>
              </w:rPr>
              <w:t>三、分析研討與人權相關時事案例</w:t>
            </w:r>
          </w:p>
        </w:tc>
        <w:tc>
          <w:tcPr>
            <w:tcW w:w="1417"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姚孟昌</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輔仁大學法律系教授</w:t>
            </w:r>
          </w:p>
        </w:tc>
        <w:tc>
          <w:tcPr>
            <w:tcW w:w="567" w:type="dxa"/>
            <w:vMerge w:val="restart"/>
          </w:tcPr>
          <w:p w:rsidR="000C099F" w:rsidRPr="005937C0" w:rsidRDefault="000C099F" w:rsidP="00E564A8">
            <w:pPr>
              <w:rPr>
                <w:rFonts w:ascii="標楷體" w:eastAsia="標楷體" w:hAnsi="標楷體"/>
                <w:szCs w:val="24"/>
              </w:rPr>
            </w:pPr>
          </w:p>
        </w:tc>
      </w:tr>
      <w:tr w:rsidR="000C099F" w:rsidRPr="005937C0" w:rsidTr="005937C0">
        <w:trPr>
          <w:trHeight w:val="390"/>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color w:val="000000"/>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鄧衍森</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東吳大學法律系教授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300"/>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color w:val="000000"/>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304"/>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color w:val="000000"/>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廖顯謨</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朝陽科技大學通識教育中心副教授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330"/>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人權兩公約及其施行法介紹</w:t>
            </w:r>
          </w:p>
        </w:tc>
        <w:tc>
          <w:tcPr>
            <w:tcW w:w="4536"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聯合國兩公約內容及我國兩公約施行法探討</w:t>
            </w:r>
          </w:p>
        </w:tc>
        <w:tc>
          <w:tcPr>
            <w:tcW w:w="1417" w:type="dxa"/>
            <w:vMerge w:val="restart"/>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蘇詔勤</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長庚大學教授</w:t>
            </w:r>
          </w:p>
        </w:tc>
        <w:tc>
          <w:tcPr>
            <w:tcW w:w="567" w:type="dxa"/>
            <w:vMerge w:val="restart"/>
          </w:tcPr>
          <w:p w:rsidR="000C099F" w:rsidRPr="005937C0" w:rsidRDefault="000C099F" w:rsidP="00E564A8">
            <w:pPr>
              <w:rPr>
                <w:rFonts w:ascii="標楷體" w:eastAsia="標楷體" w:hAnsi="標楷體"/>
                <w:szCs w:val="24"/>
              </w:rPr>
            </w:pPr>
          </w:p>
        </w:tc>
      </w:tr>
      <w:tr w:rsidR="000C099F" w:rsidRPr="005937C0" w:rsidTr="005937C0">
        <w:trPr>
          <w:trHeight w:val="390"/>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葉錦鴻</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國立中正大學財經法律系副教授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372"/>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廖顯謨</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朝陽科技大學通識教育中心副教授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1408"/>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經濟社會文化權利國際公約之在地人權實踐</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我國兩公約施行法有關經濟社會文化權利及其實例解說</w:t>
            </w:r>
          </w:p>
        </w:tc>
        <w:tc>
          <w:tcPr>
            <w:tcW w:w="1417" w:type="dxa"/>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黃俊杰</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國立中正大學財經法律學系教授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1090"/>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淺談聯合國核心國際人權條約</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聯合國人權兩公約內容探討</w:t>
            </w:r>
          </w:p>
        </w:tc>
        <w:tc>
          <w:tcPr>
            <w:tcW w:w="1417" w:type="dxa"/>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葉錦鴻</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國立中正大學財經法律系副教授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836"/>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我國與兩人權公約締約國落實公約之比較</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聯合國兩公約內容及我國兩公約施行法內容與源起探討</w:t>
            </w:r>
          </w:p>
        </w:tc>
        <w:tc>
          <w:tcPr>
            <w:tcW w:w="1417" w:type="dxa"/>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葉錦鴻</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國立中正大學財經法律系副教授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1408"/>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人權議題與發展（含國際人權公約、身心障礙者權利國際公約及</w:t>
            </w:r>
            <w:r w:rsidRPr="005937C0">
              <w:rPr>
                <w:rFonts w:ascii="標楷體" w:eastAsia="標楷體" w:hAnsi="標楷體"/>
                <w:szCs w:val="24"/>
              </w:rPr>
              <w:t>CEDAW</w:t>
            </w:r>
            <w:r w:rsidRPr="005937C0">
              <w:rPr>
                <w:rFonts w:ascii="標楷體" w:eastAsia="標楷體" w:hAnsi="標楷體" w:hint="eastAsia"/>
                <w:szCs w:val="24"/>
              </w:rPr>
              <w:t>施行法）</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我國人權兩公約施行法、身心障礙者權利及</w:t>
            </w:r>
            <w:r w:rsidRPr="005937C0">
              <w:rPr>
                <w:rFonts w:ascii="標楷體" w:eastAsia="標楷體" w:hAnsi="標楷體"/>
                <w:szCs w:val="24"/>
              </w:rPr>
              <w:t>CEDAW</w:t>
            </w:r>
            <w:r w:rsidRPr="005937C0">
              <w:rPr>
                <w:rFonts w:ascii="標楷體" w:eastAsia="標楷體" w:hAnsi="標楷體" w:hint="eastAsia"/>
                <w:szCs w:val="24"/>
              </w:rPr>
              <w:t>施行法之分析探討與未來展望</w:t>
            </w:r>
          </w:p>
        </w:tc>
        <w:tc>
          <w:tcPr>
            <w:tcW w:w="1417" w:type="dxa"/>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廖達琪</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國立中山大學政治所教授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400"/>
        </w:trPr>
        <w:tc>
          <w:tcPr>
            <w:tcW w:w="709"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國際人權與原住民人權</w:t>
            </w:r>
          </w:p>
        </w:tc>
        <w:tc>
          <w:tcPr>
            <w:tcW w:w="4536" w:type="dxa"/>
            <w:vMerge w:val="restart"/>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秉持我國兩公約施行法精神，實踐原住民人權</w:t>
            </w:r>
          </w:p>
        </w:tc>
        <w:tc>
          <w:tcPr>
            <w:tcW w:w="1417" w:type="dxa"/>
            <w:vMerge w:val="restart"/>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林淑雅</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靜宜大學法律學系助理教授</w:t>
            </w:r>
          </w:p>
        </w:tc>
        <w:tc>
          <w:tcPr>
            <w:tcW w:w="567" w:type="dxa"/>
            <w:vMerge w:val="restart"/>
          </w:tcPr>
          <w:p w:rsidR="000C099F" w:rsidRPr="005937C0" w:rsidRDefault="000C099F" w:rsidP="00E564A8">
            <w:pPr>
              <w:rPr>
                <w:rFonts w:ascii="標楷體" w:eastAsia="標楷體" w:hAnsi="標楷體"/>
                <w:szCs w:val="24"/>
              </w:rPr>
            </w:pPr>
          </w:p>
        </w:tc>
      </w:tr>
      <w:tr w:rsidR="000C099F" w:rsidRPr="005937C0" w:rsidTr="005937C0">
        <w:trPr>
          <w:trHeight w:val="435"/>
        </w:trPr>
        <w:tc>
          <w:tcPr>
            <w:tcW w:w="709" w:type="dxa"/>
            <w:vMerge/>
            <w:vAlign w:val="center"/>
          </w:tcPr>
          <w:p w:rsidR="000C099F" w:rsidRPr="005937C0" w:rsidRDefault="000C099F" w:rsidP="005937C0">
            <w:pPr>
              <w:jc w:val="center"/>
              <w:rPr>
                <w:rFonts w:ascii="標楷體" w:eastAsia="標楷體" w:hAnsi="標楷體"/>
                <w:szCs w:val="24"/>
              </w:rPr>
            </w:pPr>
          </w:p>
        </w:tc>
        <w:tc>
          <w:tcPr>
            <w:tcW w:w="1843" w:type="dxa"/>
            <w:vMerge/>
          </w:tcPr>
          <w:p w:rsidR="000C099F" w:rsidRPr="005937C0" w:rsidRDefault="000C099F" w:rsidP="00E564A8">
            <w:pPr>
              <w:rPr>
                <w:rFonts w:ascii="標楷體" w:eastAsia="標楷體" w:hAnsi="標楷體"/>
                <w:szCs w:val="24"/>
              </w:rPr>
            </w:pPr>
          </w:p>
        </w:tc>
        <w:tc>
          <w:tcPr>
            <w:tcW w:w="4536" w:type="dxa"/>
            <w:vMerge/>
          </w:tcPr>
          <w:p w:rsidR="000C099F" w:rsidRPr="005937C0" w:rsidRDefault="000C099F" w:rsidP="00E564A8">
            <w:pPr>
              <w:rPr>
                <w:rFonts w:ascii="標楷體" w:eastAsia="標楷體" w:hAnsi="標楷體"/>
                <w:szCs w:val="24"/>
              </w:rPr>
            </w:pPr>
          </w:p>
        </w:tc>
        <w:tc>
          <w:tcPr>
            <w:tcW w:w="1417" w:type="dxa"/>
            <w:vMerge/>
            <w:vAlign w:val="center"/>
          </w:tcPr>
          <w:p w:rsidR="000C099F" w:rsidRPr="005937C0" w:rsidRDefault="000C099F" w:rsidP="005937C0">
            <w:pPr>
              <w:jc w:val="center"/>
              <w:rPr>
                <w:rFonts w:ascii="標楷體" w:eastAsia="標楷體" w:hAnsi="標楷體"/>
                <w:szCs w:val="24"/>
              </w:rPr>
            </w:pP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黃居正</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清華大學科技法律研究所副教授</w:t>
            </w:r>
          </w:p>
        </w:tc>
        <w:tc>
          <w:tcPr>
            <w:tcW w:w="567" w:type="dxa"/>
            <w:vMerge/>
          </w:tcPr>
          <w:p w:rsidR="000C099F" w:rsidRPr="005937C0" w:rsidRDefault="000C099F" w:rsidP="00E564A8">
            <w:pPr>
              <w:rPr>
                <w:rFonts w:ascii="標楷體" w:eastAsia="標楷體" w:hAnsi="標楷體"/>
                <w:szCs w:val="24"/>
              </w:rPr>
            </w:pPr>
          </w:p>
        </w:tc>
      </w:tr>
      <w:tr w:rsidR="000C099F" w:rsidRPr="005937C0" w:rsidTr="005937C0">
        <w:trPr>
          <w:trHeight w:val="555"/>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縣政發展與人權公約</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實際社會生活人權議題。</w:t>
            </w:r>
          </w:p>
        </w:tc>
        <w:tc>
          <w:tcPr>
            <w:tcW w:w="1417" w:type="dxa"/>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蘇詔勤</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長庚大學教授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820"/>
        </w:trPr>
        <w:tc>
          <w:tcPr>
            <w:tcW w:w="709"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szCs w:val="24"/>
              </w:rPr>
              <w:t>102</w:t>
            </w:r>
          </w:p>
        </w:tc>
        <w:tc>
          <w:tcPr>
            <w:tcW w:w="1843"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從國際人權公約談我國現況及發展</w:t>
            </w:r>
          </w:p>
        </w:tc>
        <w:tc>
          <w:tcPr>
            <w:tcW w:w="4536" w:type="dxa"/>
          </w:tcPr>
          <w:p w:rsidR="000C099F" w:rsidRPr="005937C0" w:rsidRDefault="000C099F" w:rsidP="00E564A8">
            <w:pPr>
              <w:rPr>
                <w:rFonts w:ascii="標楷體" w:eastAsia="標楷體" w:hAnsi="標楷體"/>
                <w:szCs w:val="24"/>
              </w:rPr>
            </w:pPr>
            <w:r w:rsidRPr="005937C0">
              <w:rPr>
                <w:rFonts w:ascii="標楷體" w:eastAsia="標楷體" w:hAnsi="標楷體" w:hint="eastAsia"/>
                <w:szCs w:val="24"/>
              </w:rPr>
              <w:t>聯合國人權兩公約、我國兩公約施行法及</w:t>
            </w:r>
            <w:r w:rsidRPr="005937C0">
              <w:rPr>
                <w:rFonts w:ascii="標楷體" w:eastAsia="標楷體" w:hAnsi="標楷體"/>
                <w:szCs w:val="24"/>
              </w:rPr>
              <w:t>CEDAW</w:t>
            </w:r>
            <w:r w:rsidRPr="005937C0">
              <w:rPr>
                <w:rFonts w:ascii="標楷體" w:eastAsia="標楷體" w:hAnsi="標楷體" w:hint="eastAsia"/>
                <w:szCs w:val="24"/>
              </w:rPr>
              <w:t>施行法與實務</w:t>
            </w:r>
          </w:p>
        </w:tc>
        <w:tc>
          <w:tcPr>
            <w:tcW w:w="1417" w:type="dxa"/>
            <w:vAlign w:val="center"/>
          </w:tcPr>
          <w:p w:rsidR="000C099F" w:rsidRPr="005937C0" w:rsidRDefault="000C099F" w:rsidP="005937C0">
            <w:pPr>
              <w:jc w:val="center"/>
            </w:pPr>
            <w:r w:rsidRPr="005937C0">
              <w:rPr>
                <w:rFonts w:ascii="標楷體" w:eastAsia="標楷體" w:hAnsi="標楷體" w:hint="eastAsia"/>
                <w:szCs w:val="24"/>
              </w:rPr>
              <w:t>實體課程</w:t>
            </w:r>
          </w:p>
        </w:tc>
        <w:tc>
          <w:tcPr>
            <w:tcW w:w="1134" w:type="dxa"/>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陳滄海</w:t>
            </w:r>
          </w:p>
        </w:tc>
        <w:tc>
          <w:tcPr>
            <w:tcW w:w="4961" w:type="dxa"/>
            <w:vAlign w:val="center"/>
          </w:tcPr>
          <w:p w:rsidR="000C099F" w:rsidRPr="005937C0" w:rsidRDefault="000C099F" w:rsidP="005937C0">
            <w:pPr>
              <w:jc w:val="both"/>
              <w:rPr>
                <w:rFonts w:ascii="標楷體" w:eastAsia="標楷體" w:hAnsi="標楷體"/>
                <w:szCs w:val="24"/>
              </w:rPr>
            </w:pPr>
            <w:r w:rsidRPr="005937C0">
              <w:rPr>
                <w:rFonts w:ascii="標楷體" w:eastAsia="標楷體" w:hAnsi="標楷體" w:hint="eastAsia"/>
                <w:szCs w:val="24"/>
              </w:rPr>
              <w:t>臺北市立大學社會曁公共事務學系副教授</w:t>
            </w:r>
          </w:p>
        </w:tc>
        <w:tc>
          <w:tcPr>
            <w:tcW w:w="567" w:type="dxa"/>
          </w:tcPr>
          <w:p w:rsidR="000C099F" w:rsidRPr="005937C0" w:rsidRDefault="000C099F" w:rsidP="00E564A8">
            <w:pPr>
              <w:rPr>
                <w:rFonts w:ascii="標楷體" w:eastAsia="標楷體" w:hAnsi="標楷體"/>
                <w:szCs w:val="24"/>
              </w:rPr>
            </w:pPr>
          </w:p>
        </w:tc>
      </w:tr>
      <w:tr w:rsidR="000C099F" w:rsidRPr="005937C0" w:rsidTr="005937C0">
        <w:trPr>
          <w:trHeight w:val="3600"/>
        </w:trPr>
        <w:tc>
          <w:tcPr>
            <w:tcW w:w="709"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szCs w:val="24"/>
              </w:rPr>
              <w:t>102</w:t>
            </w: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tcPr>
          <w:p w:rsidR="000C099F" w:rsidRPr="005937C0" w:rsidRDefault="000C099F" w:rsidP="005937C0">
            <w:pPr>
              <w:spacing w:line="400" w:lineRule="exact"/>
              <w:rPr>
                <w:rFonts w:ascii="標楷體" w:eastAsia="標楷體" w:hAnsi="標楷體" w:cs="新細明體"/>
                <w:color w:val="000000"/>
                <w:szCs w:val="24"/>
              </w:rPr>
            </w:pPr>
            <w:r w:rsidRPr="005937C0">
              <w:rPr>
                <w:rFonts w:ascii="標楷體" w:eastAsia="標楷體" w:hAnsi="標楷體" w:hint="eastAsia"/>
                <w:color w:val="000000"/>
                <w:szCs w:val="24"/>
              </w:rPr>
              <w:t>兩公約之認識與應用</w:t>
            </w:r>
          </w:p>
        </w:tc>
        <w:tc>
          <w:tcPr>
            <w:tcW w:w="4536" w:type="dxa"/>
          </w:tcPr>
          <w:p w:rsidR="000C099F" w:rsidRPr="005937C0" w:rsidRDefault="000C099F" w:rsidP="005937C0">
            <w:pPr>
              <w:spacing w:line="400" w:lineRule="exact"/>
              <w:rPr>
                <w:rFonts w:ascii="標楷體" w:eastAsia="標楷體" w:hAnsi="標楷體"/>
                <w:szCs w:val="24"/>
              </w:rPr>
            </w:pPr>
            <w:r w:rsidRPr="005937C0">
              <w:rPr>
                <w:rFonts w:ascii="標楷體" w:eastAsia="標楷體" w:hAnsi="標楷體" w:hint="eastAsia"/>
                <w:szCs w:val="24"/>
              </w:rPr>
              <w:t>隨著國際人權意識的高漲與台灣民主化的演進，「公民與政治權利國際公約」及「經濟社會文化權利國際公約」兩項國際人權公約在</w:t>
            </w:r>
            <w:r w:rsidRPr="005937C0">
              <w:rPr>
                <w:rFonts w:ascii="標楷體" w:eastAsia="標楷體" w:hAnsi="標楷體"/>
                <w:szCs w:val="24"/>
              </w:rPr>
              <w:t>2009</w:t>
            </w:r>
            <w:r w:rsidRPr="005937C0">
              <w:rPr>
                <w:rFonts w:ascii="標楷體" w:eastAsia="標楷體" w:hAnsi="標楷體" w:hint="eastAsia"/>
                <w:szCs w:val="24"/>
              </w:rPr>
              <w:t>年由立法院批准，正式施行。這代表著落實兩公約來保障人權，將是每位公務員現在及未來必須持續努力的方向。認識兩公約的基本概念與實務運用，建立人權意識，以人權觀點執行公務，確切落實兩公約的精神。</w:t>
            </w:r>
          </w:p>
        </w:tc>
        <w:tc>
          <w:tcPr>
            <w:tcW w:w="1417"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hint="eastAsia"/>
                <w:szCs w:val="24"/>
              </w:rPr>
              <w:t>數位課程</w:t>
            </w:r>
          </w:p>
        </w:tc>
        <w:tc>
          <w:tcPr>
            <w:tcW w:w="1134"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hint="eastAsia"/>
                <w:szCs w:val="24"/>
              </w:rPr>
              <w:t>黃長玲</w:t>
            </w:r>
          </w:p>
        </w:tc>
        <w:tc>
          <w:tcPr>
            <w:tcW w:w="4961" w:type="dxa"/>
            <w:vAlign w:val="center"/>
          </w:tcPr>
          <w:p w:rsidR="000C099F" w:rsidRPr="005937C0" w:rsidRDefault="000C099F" w:rsidP="005937C0">
            <w:pPr>
              <w:spacing w:line="400" w:lineRule="exact"/>
              <w:jc w:val="both"/>
              <w:rPr>
                <w:rFonts w:ascii="標楷體" w:eastAsia="標楷體" w:hAnsi="標楷體"/>
                <w:szCs w:val="24"/>
              </w:rPr>
            </w:pPr>
            <w:r w:rsidRPr="005937C0">
              <w:rPr>
                <w:rFonts w:ascii="標楷體" w:eastAsia="標楷體" w:hAnsi="標楷體" w:hint="eastAsia"/>
                <w:szCs w:val="24"/>
              </w:rPr>
              <w:t>國立臺灣大學政治學系副教授</w:t>
            </w:r>
          </w:p>
        </w:tc>
        <w:tc>
          <w:tcPr>
            <w:tcW w:w="567" w:type="dxa"/>
          </w:tcPr>
          <w:p w:rsidR="000C099F" w:rsidRPr="005937C0" w:rsidRDefault="000C099F" w:rsidP="005937C0">
            <w:pPr>
              <w:spacing w:line="400" w:lineRule="exact"/>
              <w:rPr>
                <w:rFonts w:ascii="標楷體" w:eastAsia="標楷體" w:hAnsi="標楷體"/>
                <w:szCs w:val="24"/>
              </w:rPr>
            </w:pPr>
          </w:p>
        </w:tc>
      </w:tr>
      <w:tr w:rsidR="000C099F" w:rsidRPr="005937C0" w:rsidTr="005937C0">
        <w:trPr>
          <w:trHeight w:val="1922"/>
        </w:trPr>
        <w:tc>
          <w:tcPr>
            <w:tcW w:w="709"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szCs w:val="24"/>
              </w:rPr>
              <w:t>102</w:t>
            </w: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tcPr>
          <w:p w:rsidR="000C099F" w:rsidRPr="005937C0" w:rsidRDefault="000C099F" w:rsidP="005937C0">
            <w:pPr>
              <w:spacing w:line="400" w:lineRule="exact"/>
              <w:rPr>
                <w:rFonts w:ascii="標楷體" w:eastAsia="標楷體" w:hAnsi="標楷體" w:cs="新細明體"/>
                <w:szCs w:val="24"/>
              </w:rPr>
            </w:pPr>
            <w:r w:rsidRPr="005937C0">
              <w:rPr>
                <w:rFonts w:ascii="標楷體" w:eastAsia="標楷體" w:hAnsi="標楷體" w:hint="eastAsia"/>
                <w:szCs w:val="24"/>
              </w:rPr>
              <w:t>人權大步走</w:t>
            </w:r>
            <w:r w:rsidRPr="005937C0">
              <w:rPr>
                <w:rFonts w:ascii="標楷體" w:eastAsia="標楷體" w:hAnsi="標楷體"/>
                <w:szCs w:val="24"/>
              </w:rPr>
              <w:t>-</w:t>
            </w:r>
            <w:r w:rsidRPr="005937C0">
              <w:rPr>
                <w:rFonts w:ascii="標楷體" w:eastAsia="標楷體" w:hAnsi="標楷體" w:hint="eastAsia"/>
                <w:szCs w:val="24"/>
              </w:rPr>
              <w:t>落實兩公約</w:t>
            </w:r>
          </w:p>
        </w:tc>
        <w:tc>
          <w:tcPr>
            <w:tcW w:w="4536" w:type="dxa"/>
          </w:tcPr>
          <w:p w:rsidR="000C099F" w:rsidRPr="005937C0" w:rsidRDefault="000C099F" w:rsidP="005937C0">
            <w:pPr>
              <w:spacing w:line="400" w:lineRule="exact"/>
              <w:rPr>
                <w:rFonts w:ascii="標楷體" w:eastAsia="標楷體" w:hAnsi="標楷體"/>
                <w:szCs w:val="24"/>
              </w:rPr>
            </w:pPr>
            <w:r w:rsidRPr="005937C0">
              <w:rPr>
                <w:rFonts w:ascii="標楷體" w:eastAsia="標楷體" w:hAnsi="標楷體" w:hint="eastAsia"/>
                <w:szCs w:val="24"/>
              </w:rPr>
              <w:t>先說明「人權」所代表的意義，再藉由案例分享，讓學員培養應有的人權觀念；最後帶領學員認識「公民與政治權利國際公約</w:t>
            </w:r>
            <w:r w:rsidRPr="005937C0">
              <w:rPr>
                <w:rFonts w:ascii="標楷體" w:eastAsia="標楷體" w:hAnsi="標楷體"/>
                <w:szCs w:val="24"/>
              </w:rPr>
              <w:t xml:space="preserve"> </w:t>
            </w:r>
            <w:r w:rsidRPr="005937C0">
              <w:rPr>
                <w:rFonts w:ascii="標楷體" w:eastAsia="標楷體" w:hAnsi="標楷體" w:hint="eastAsia"/>
                <w:szCs w:val="24"/>
              </w:rPr>
              <w:t>」、「經濟社會文化權利國際公約</w:t>
            </w:r>
            <w:r w:rsidRPr="005937C0">
              <w:rPr>
                <w:rFonts w:ascii="標楷體" w:eastAsia="標楷體" w:hAnsi="標楷體"/>
                <w:szCs w:val="24"/>
              </w:rPr>
              <w:t xml:space="preserve"> </w:t>
            </w:r>
            <w:r w:rsidRPr="005937C0">
              <w:rPr>
                <w:rFonts w:ascii="標楷體" w:eastAsia="標楷體" w:hAnsi="標楷體" w:hint="eastAsia"/>
                <w:szCs w:val="24"/>
              </w:rPr>
              <w:t>」中重要的條文內容。</w:t>
            </w:r>
          </w:p>
        </w:tc>
        <w:tc>
          <w:tcPr>
            <w:tcW w:w="1417"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hint="eastAsia"/>
                <w:szCs w:val="24"/>
              </w:rPr>
              <w:t>數位課程</w:t>
            </w:r>
          </w:p>
        </w:tc>
        <w:tc>
          <w:tcPr>
            <w:tcW w:w="1134"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hint="eastAsia"/>
                <w:szCs w:val="24"/>
              </w:rPr>
              <w:t>廖元豪</w:t>
            </w:r>
          </w:p>
        </w:tc>
        <w:tc>
          <w:tcPr>
            <w:tcW w:w="4961" w:type="dxa"/>
            <w:vAlign w:val="center"/>
          </w:tcPr>
          <w:p w:rsidR="000C099F" w:rsidRPr="005937C0" w:rsidRDefault="000C099F" w:rsidP="005937C0">
            <w:pPr>
              <w:spacing w:line="400" w:lineRule="exact"/>
              <w:jc w:val="both"/>
              <w:rPr>
                <w:rFonts w:ascii="標楷體" w:eastAsia="標楷體" w:hAnsi="標楷體"/>
                <w:szCs w:val="24"/>
              </w:rPr>
            </w:pPr>
            <w:r w:rsidRPr="005937C0">
              <w:rPr>
                <w:rFonts w:ascii="標楷體" w:eastAsia="標楷體" w:hAnsi="標楷體" w:hint="eastAsia"/>
                <w:szCs w:val="24"/>
              </w:rPr>
              <w:t>國立政治大學法律系副教授</w:t>
            </w:r>
          </w:p>
        </w:tc>
        <w:tc>
          <w:tcPr>
            <w:tcW w:w="567" w:type="dxa"/>
          </w:tcPr>
          <w:p w:rsidR="000C099F" w:rsidRPr="005937C0" w:rsidRDefault="000C099F" w:rsidP="005937C0">
            <w:pPr>
              <w:spacing w:line="400" w:lineRule="exact"/>
              <w:rPr>
                <w:rFonts w:ascii="標楷體" w:eastAsia="標楷體" w:hAnsi="標楷體"/>
                <w:szCs w:val="24"/>
              </w:rPr>
            </w:pPr>
          </w:p>
        </w:tc>
      </w:tr>
      <w:tr w:rsidR="000C099F" w:rsidRPr="005937C0" w:rsidTr="005937C0">
        <w:trPr>
          <w:trHeight w:val="360"/>
        </w:trPr>
        <w:tc>
          <w:tcPr>
            <w:tcW w:w="709" w:type="dxa"/>
            <w:vMerge w:val="restart"/>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szCs w:val="24"/>
              </w:rPr>
              <w:t>102</w:t>
            </w:r>
            <w:r w:rsidRPr="005937C0">
              <w:rPr>
                <w:rFonts w:ascii="標楷體" w:eastAsia="標楷體" w:hAnsi="標楷體" w:hint="eastAsia"/>
                <w:szCs w:val="24"/>
              </w:rPr>
              <w:t>及</w:t>
            </w:r>
            <w:r w:rsidRPr="005937C0">
              <w:rPr>
                <w:rFonts w:ascii="標楷體" w:eastAsia="標楷體" w:hAnsi="標楷體"/>
                <w:szCs w:val="24"/>
              </w:rPr>
              <w:t>103</w:t>
            </w:r>
          </w:p>
        </w:tc>
        <w:tc>
          <w:tcPr>
            <w:tcW w:w="1843" w:type="dxa"/>
            <w:vMerge w:val="restart"/>
          </w:tcPr>
          <w:p w:rsidR="000C099F" w:rsidRPr="005937C0" w:rsidRDefault="000C099F" w:rsidP="005937C0">
            <w:pPr>
              <w:spacing w:line="400" w:lineRule="exact"/>
              <w:rPr>
                <w:rFonts w:ascii="標楷體" w:eastAsia="標楷體" w:hAnsi="標楷體" w:cs="新細明體"/>
                <w:color w:val="000000"/>
                <w:szCs w:val="24"/>
              </w:rPr>
            </w:pPr>
            <w:r w:rsidRPr="005937C0">
              <w:rPr>
                <w:rFonts w:ascii="標楷體" w:eastAsia="標楷體" w:hAnsi="標楷體" w:hint="eastAsia"/>
                <w:color w:val="000000"/>
                <w:szCs w:val="24"/>
              </w:rPr>
              <w:t>人權大步走</w:t>
            </w:r>
            <w:r w:rsidRPr="005937C0">
              <w:rPr>
                <w:rFonts w:ascii="標楷體" w:eastAsia="標楷體" w:hAnsi="標楷體"/>
                <w:color w:val="000000"/>
                <w:szCs w:val="24"/>
              </w:rPr>
              <w:t>-</w:t>
            </w:r>
            <w:r w:rsidRPr="005937C0">
              <w:rPr>
                <w:rFonts w:ascii="標楷體" w:eastAsia="標楷體" w:hAnsi="標楷體" w:hint="eastAsia"/>
                <w:color w:val="000000"/>
                <w:szCs w:val="24"/>
              </w:rPr>
              <w:t>落實兩公約於人權之保障</w:t>
            </w:r>
          </w:p>
        </w:tc>
        <w:tc>
          <w:tcPr>
            <w:tcW w:w="4536" w:type="dxa"/>
            <w:vMerge w:val="restart"/>
          </w:tcPr>
          <w:p w:rsidR="000C099F" w:rsidRPr="005937C0" w:rsidRDefault="000C099F" w:rsidP="005937C0">
            <w:pPr>
              <w:spacing w:line="400" w:lineRule="exact"/>
              <w:rPr>
                <w:rFonts w:ascii="標楷體" w:eastAsia="標楷體" w:hAnsi="標楷體"/>
                <w:szCs w:val="24"/>
              </w:rPr>
            </w:pPr>
            <w:r w:rsidRPr="005937C0">
              <w:rPr>
                <w:rFonts w:ascii="標楷體" w:eastAsia="標楷體" w:hAnsi="標楷體" w:hint="eastAsia"/>
                <w:szCs w:val="24"/>
              </w:rPr>
              <w:t>近來人權問題吵得沸沸揚揚，爭議不斷，最熱門話題莫過於死刑的廢除與否。到底人權的定義為何？為什麼成為現在國際間討論的重點呢？將從當前重視人權的趨勢說起，接著介紹人權的定義、起萌發展與內容，並舉出案例進一步深入探討，之後詳述兩公約的內容，最後介紹兩公約施行法的目的及相關制度，讓你對人權與兩公約的意義有更深層的概念！</w:t>
            </w:r>
          </w:p>
        </w:tc>
        <w:tc>
          <w:tcPr>
            <w:tcW w:w="1417" w:type="dxa"/>
            <w:vMerge w:val="restart"/>
            <w:vAlign w:val="center"/>
          </w:tcPr>
          <w:p w:rsidR="000C099F" w:rsidRPr="005937C0" w:rsidRDefault="000C099F" w:rsidP="005937C0">
            <w:pPr>
              <w:jc w:val="center"/>
              <w:rPr>
                <w:rFonts w:ascii="標楷體" w:eastAsia="標楷體" w:hAnsi="標楷體"/>
                <w:szCs w:val="24"/>
              </w:rPr>
            </w:pPr>
            <w:r w:rsidRPr="005937C0">
              <w:rPr>
                <w:rFonts w:ascii="標楷體" w:eastAsia="標楷體" w:hAnsi="標楷體" w:hint="eastAsia"/>
                <w:szCs w:val="24"/>
              </w:rPr>
              <w:t>數位課程</w:t>
            </w:r>
          </w:p>
        </w:tc>
        <w:tc>
          <w:tcPr>
            <w:tcW w:w="1134" w:type="dxa"/>
            <w:vAlign w:val="center"/>
          </w:tcPr>
          <w:p w:rsidR="000C099F" w:rsidRPr="005937C0" w:rsidRDefault="000C099F" w:rsidP="005937C0">
            <w:pPr>
              <w:spacing w:line="400" w:lineRule="exact"/>
              <w:jc w:val="center"/>
              <w:rPr>
                <w:rFonts w:ascii="標楷體" w:eastAsia="標楷體" w:hAnsi="標楷體"/>
                <w:szCs w:val="24"/>
              </w:rPr>
            </w:pPr>
            <w:r w:rsidRPr="005937C0">
              <w:rPr>
                <w:rFonts w:ascii="標楷體" w:eastAsia="標楷體" w:hAnsi="標楷體" w:hint="eastAsia"/>
                <w:szCs w:val="24"/>
              </w:rPr>
              <w:t>廖達琪</w:t>
            </w:r>
          </w:p>
        </w:tc>
        <w:tc>
          <w:tcPr>
            <w:tcW w:w="4961" w:type="dxa"/>
            <w:vMerge w:val="restart"/>
            <w:vAlign w:val="center"/>
          </w:tcPr>
          <w:p w:rsidR="000C099F" w:rsidRPr="005937C0" w:rsidRDefault="000C099F" w:rsidP="005937C0">
            <w:pPr>
              <w:spacing w:line="400" w:lineRule="exact"/>
              <w:jc w:val="both"/>
              <w:rPr>
                <w:rFonts w:ascii="標楷體" w:eastAsia="標楷體" w:hAnsi="標楷體"/>
                <w:szCs w:val="24"/>
              </w:rPr>
            </w:pPr>
            <w:r w:rsidRPr="005937C0">
              <w:rPr>
                <w:rFonts w:ascii="標楷體" w:eastAsia="標楷體" w:hAnsi="標楷體" w:hint="eastAsia"/>
                <w:szCs w:val="24"/>
              </w:rPr>
              <w:t>國立中山大學政治所教授</w:t>
            </w:r>
          </w:p>
        </w:tc>
        <w:tc>
          <w:tcPr>
            <w:tcW w:w="567" w:type="dxa"/>
            <w:vMerge w:val="restart"/>
          </w:tcPr>
          <w:p w:rsidR="000C099F" w:rsidRPr="005937C0" w:rsidRDefault="000C099F" w:rsidP="005937C0">
            <w:pPr>
              <w:spacing w:line="400" w:lineRule="exact"/>
              <w:rPr>
                <w:rFonts w:ascii="標楷體" w:eastAsia="標楷體" w:hAnsi="標楷體"/>
                <w:szCs w:val="24"/>
              </w:rPr>
            </w:pPr>
          </w:p>
        </w:tc>
      </w:tr>
      <w:tr w:rsidR="000C099F" w:rsidRPr="005937C0" w:rsidTr="005937C0">
        <w:trPr>
          <w:trHeight w:val="4830"/>
        </w:trPr>
        <w:tc>
          <w:tcPr>
            <w:tcW w:w="709" w:type="dxa"/>
            <w:vMerge/>
          </w:tcPr>
          <w:p w:rsidR="000C099F" w:rsidRPr="005937C0" w:rsidRDefault="000C099F" w:rsidP="005937C0">
            <w:pPr>
              <w:spacing w:line="400" w:lineRule="exact"/>
              <w:rPr>
                <w:rFonts w:ascii="標楷體" w:eastAsia="標楷體" w:hAnsi="標楷體"/>
                <w:szCs w:val="24"/>
              </w:rPr>
            </w:pPr>
          </w:p>
        </w:tc>
        <w:tc>
          <w:tcPr>
            <w:tcW w:w="1843" w:type="dxa"/>
            <w:vMerge/>
          </w:tcPr>
          <w:p w:rsidR="000C099F" w:rsidRPr="005937C0" w:rsidRDefault="000C099F" w:rsidP="005937C0">
            <w:pPr>
              <w:spacing w:line="400" w:lineRule="exact"/>
              <w:rPr>
                <w:rFonts w:ascii="標楷體" w:eastAsia="標楷體" w:hAnsi="標楷體"/>
                <w:color w:val="000000"/>
                <w:szCs w:val="24"/>
              </w:rPr>
            </w:pPr>
          </w:p>
        </w:tc>
        <w:tc>
          <w:tcPr>
            <w:tcW w:w="4536" w:type="dxa"/>
            <w:vMerge/>
          </w:tcPr>
          <w:p w:rsidR="000C099F" w:rsidRPr="005937C0" w:rsidRDefault="000C099F" w:rsidP="005937C0">
            <w:pPr>
              <w:spacing w:line="400" w:lineRule="exact"/>
              <w:rPr>
                <w:rFonts w:ascii="標楷體" w:eastAsia="標楷體" w:hAnsi="標楷體"/>
                <w:szCs w:val="24"/>
              </w:rPr>
            </w:pPr>
          </w:p>
        </w:tc>
        <w:tc>
          <w:tcPr>
            <w:tcW w:w="1417" w:type="dxa"/>
            <w:vMerge/>
          </w:tcPr>
          <w:p w:rsidR="000C099F" w:rsidRPr="005937C0" w:rsidRDefault="000C099F" w:rsidP="00E564A8">
            <w:pPr>
              <w:rPr>
                <w:rFonts w:ascii="標楷體" w:eastAsia="標楷體" w:hAnsi="標楷體"/>
                <w:szCs w:val="24"/>
              </w:rPr>
            </w:pPr>
          </w:p>
        </w:tc>
        <w:tc>
          <w:tcPr>
            <w:tcW w:w="1134" w:type="dxa"/>
          </w:tcPr>
          <w:p w:rsidR="000C099F" w:rsidRPr="005937C0" w:rsidRDefault="000C099F" w:rsidP="005937C0">
            <w:pPr>
              <w:spacing w:line="400" w:lineRule="exact"/>
              <w:rPr>
                <w:rFonts w:ascii="標楷體" w:eastAsia="標楷體" w:hAnsi="標楷體"/>
                <w:szCs w:val="24"/>
              </w:rPr>
            </w:pPr>
          </w:p>
        </w:tc>
        <w:tc>
          <w:tcPr>
            <w:tcW w:w="4961" w:type="dxa"/>
            <w:vMerge/>
          </w:tcPr>
          <w:p w:rsidR="000C099F" w:rsidRPr="005937C0" w:rsidRDefault="000C099F" w:rsidP="005937C0">
            <w:pPr>
              <w:spacing w:line="400" w:lineRule="exact"/>
              <w:rPr>
                <w:rFonts w:ascii="標楷體" w:eastAsia="標楷體" w:hAnsi="標楷體"/>
                <w:szCs w:val="24"/>
              </w:rPr>
            </w:pPr>
          </w:p>
        </w:tc>
        <w:tc>
          <w:tcPr>
            <w:tcW w:w="567" w:type="dxa"/>
            <w:vMerge/>
          </w:tcPr>
          <w:p w:rsidR="000C099F" w:rsidRPr="005937C0" w:rsidRDefault="000C099F" w:rsidP="005937C0">
            <w:pPr>
              <w:spacing w:line="400" w:lineRule="exact"/>
              <w:rPr>
                <w:rFonts w:ascii="標楷體" w:eastAsia="標楷體" w:hAnsi="標楷體"/>
                <w:szCs w:val="24"/>
              </w:rPr>
            </w:pPr>
          </w:p>
        </w:tc>
      </w:tr>
    </w:tbl>
    <w:p w:rsidR="000C099F" w:rsidRPr="00771908" w:rsidRDefault="000C099F" w:rsidP="001369FE"/>
    <w:p w:rsidR="000C099F" w:rsidRPr="0039160B" w:rsidRDefault="000C099F" w:rsidP="001369FE">
      <w:pPr>
        <w:rPr>
          <w:rFonts w:ascii="標楷體" w:eastAsia="標楷體" w:hAnsi="標楷體"/>
        </w:rPr>
      </w:pPr>
    </w:p>
    <w:p w:rsidR="000C099F" w:rsidRPr="0039160B" w:rsidRDefault="000C099F">
      <w:pPr>
        <w:rPr>
          <w:rFonts w:ascii="標楷體" w:eastAsia="標楷體" w:hAnsi="標楷體"/>
        </w:rPr>
      </w:pPr>
    </w:p>
    <w:sectPr w:rsidR="000C099F" w:rsidRPr="0039160B" w:rsidSect="007A2CC2">
      <w:foot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9F" w:rsidRDefault="000C099F" w:rsidP="001E1735">
      <w:r>
        <w:separator/>
      </w:r>
    </w:p>
  </w:endnote>
  <w:endnote w:type="continuationSeparator" w:id="0">
    <w:p w:rsidR="000C099F" w:rsidRDefault="000C099F" w:rsidP="001E1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99F" w:rsidRDefault="000C099F">
    <w:pPr>
      <w:pStyle w:val="Footer"/>
      <w:jc w:val="center"/>
    </w:pPr>
    <w:fldSimple w:instr="PAGE   \* MERGEFORMAT">
      <w:r w:rsidRPr="001A5769">
        <w:rPr>
          <w:noProof/>
          <w:lang w:val="zh-TW"/>
        </w:rPr>
        <w:t>1</w:t>
      </w:r>
    </w:fldSimple>
  </w:p>
  <w:p w:rsidR="000C099F" w:rsidRDefault="000C0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9F" w:rsidRDefault="000C099F" w:rsidP="001E1735">
      <w:r>
        <w:separator/>
      </w:r>
    </w:p>
  </w:footnote>
  <w:footnote w:type="continuationSeparator" w:id="0">
    <w:p w:rsidR="000C099F" w:rsidRDefault="000C099F" w:rsidP="001E1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4DC"/>
    <w:multiLevelType w:val="hybridMultilevel"/>
    <w:tmpl w:val="ADB69A10"/>
    <w:lvl w:ilvl="0" w:tplc="0776AA3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25FCC"/>
    <w:multiLevelType w:val="hybridMultilevel"/>
    <w:tmpl w:val="CDA60372"/>
    <w:lvl w:ilvl="0" w:tplc="A9D24F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BC91E9D"/>
    <w:multiLevelType w:val="hybridMultilevel"/>
    <w:tmpl w:val="0F8AA648"/>
    <w:lvl w:ilvl="0" w:tplc="133683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7D94756"/>
    <w:multiLevelType w:val="hybridMultilevel"/>
    <w:tmpl w:val="F03E3B34"/>
    <w:lvl w:ilvl="0" w:tplc="4ECC60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2155A50"/>
    <w:multiLevelType w:val="hybridMultilevel"/>
    <w:tmpl w:val="F408846C"/>
    <w:lvl w:ilvl="0" w:tplc="D45EB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CF92169"/>
    <w:multiLevelType w:val="hybridMultilevel"/>
    <w:tmpl w:val="FDFC5AFA"/>
    <w:lvl w:ilvl="0" w:tplc="8E40C83A">
      <w:start w:val="1"/>
      <w:numFmt w:val="decimal"/>
      <w:lvlText w:val="%1."/>
      <w:lvlJc w:val="left"/>
      <w:pPr>
        <w:ind w:left="405" w:hanging="405"/>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2CF40FE"/>
    <w:multiLevelType w:val="hybridMultilevel"/>
    <w:tmpl w:val="FBA460BA"/>
    <w:lvl w:ilvl="0" w:tplc="626883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2FB5A60"/>
    <w:multiLevelType w:val="hybridMultilevel"/>
    <w:tmpl w:val="DC0AF104"/>
    <w:lvl w:ilvl="0" w:tplc="97B0C1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49D7328"/>
    <w:multiLevelType w:val="hybridMultilevel"/>
    <w:tmpl w:val="6656705A"/>
    <w:lvl w:ilvl="0" w:tplc="5C4E97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A96"/>
    <w:rsid w:val="00046D28"/>
    <w:rsid w:val="00071561"/>
    <w:rsid w:val="000C099F"/>
    <w:rsid w:val="000F3E39"/>
    <w:rsid w:val="001369FE"/>
    <w:rsid w:val="00175534"/>
    <w:rsid w:val="001A5769"/>
    <w:rsid w:val="001C522D"/>
    <w:rsid w:val="001E1735"/>
    <w:rsid w:val="001E370F"/>
    <w:rsid w:val="00231090"/>
    <w:rsid w:val="00283C89"/>
    <w:rsid w:val="00294AEC"/>
    <w:rsid w:val="002F04C8"/>
    <w:rsid w:val="00312CA0"/>
    <w:rsid w:val="00333247"/>
    <w:rsid w:val="0033343A"/>
    <w:rsid w:val="0038372D"/>
    <w:rsid w:val="0039160B"/>
    <w:rsid w:val="003A5529"/>
    <w:rsid w:val="003E681B"/>
    <w:rsid w:val="0040075B"/>
    <w:rsid w:val="004271D6"/>
    <w:rsid w:val="00441411"/>
    <w:rsid w:val="004A1372"/>
    <w:rsid w:val="004F11F0"/>
    <w:rsid w:val="00512A8F"/>
    <w:rsid w:val="00522D01"/>
    <w:rsid w:val="00582951"/>
    <w:rsid w:val="005937C0"/>
    <w:rsid w:val="005B0FCB"/>
    <w:rsid w:val="005C753C"/>
    <w:rsid w:val="005C7AEA"/>
    <w:rsid w:val="00602E6E"/>
    <w:rsid w:val="006F0CFF"/>
    <w:rsid w:val="00771908"/>
    <w:rsid w:val="007765AD"/>
    <w:rsid w:val="007A2765"/>
    <w:rsid w:val="007A2CC2"/>
    <w:rsid w:val="00801AA3"/>
    <w:rsid w:val="008A1727"/>
    <w:rsid w:val="00963994"/>
    <w:rsid w:val="00A03AF8"/>
    <w:rsid w:val="00A410B9"/>
    <w:rsid w:val="00A6333F"/>
    <w:rsid w:val="00B02CDA"/>
    <w:rsid w:val="00BA027D"/>
    <w:rsid w:val="00C1437F"/>
    <w:rsid w:val="00C22849"/>
    <w:rsid w:val="00C55AB7"/>
    <w:rsid w:val="00C92F97"/>
    <w:rsid w:val="00C96AD4"/>
    <w:rsid w:val="00CE262C"/>
    <w:rsid w:val="00DF5A96"/>
    <w:rsid w:val="00E34BD0"/>
    <w:rsid w:val="00E531EA"/>
    <w:rsid w:val="00E564A8"/>
    <w:rsid w:val="00E80495"/>
    <w:rsid w:val="00E93C20"/>
    <w:rsid w:val="00EB3A68"/>
    <w:rsid w:val="00EC74B7"/>
    <w:rsid w:val="00F37EDA"/>
    <w:rsid w:val="00F73D3D"/>
    <w:rsid w:val="00FC26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3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5A9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173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E1735"/>
    <w:rPr>
      <w:rFonts w:cs="Times New Roman"/>
      <w:sz w:val="20"/>
      <w:szCs w:val="20"/>
    </w:rPr>
  </w:style>
  <w:style w:type="paragraph" w:styleId="Footer">
    <w:name w:val="footer"/>
    <w:basedOn w:val="Normal"/>
    <w:link w:val="FooterChar"/>
    <w:uiPriority w:val="99"/>
    <w:rsid w:val="001E173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E1735"/>
    <w:rPr>
      <w:rFonts w:cs="Times New Roman"/>
      <w:sz w:val="20"/>
      <w:szCs w:val="20"/>
    </w:rPr>
  </w:style>
  <w:style w:type="paragraph" w:styleId="ListParagraph">
    <w:name w:val="List Paragraph"/>
    <w:basedOn w:val="Normal"/>
    <w:uiPriority w:val="99"/>
    <w:qFormat/>
    <w:rsid w:val="00512A8F"/>
    <w:pPr>
      <w:ind w:leftChars="200" w:left="480"/>
    </w:pPr>
  </w:style>
  <w:style w:type="paragraph" w:styleId="BalloonText">
    <w:name w:val="Balloon Text"/>
    <w:basedOn w:val="Normal"/>
    <w:link w:val="BalloonTextChar"/>
    <w:uiPriority w:val="99"/>
    <w:semiHidden/>
    <w:rsid w:val="00EC74B7"/>
    <w:rPr>
      <w:rFonts w:ascii="Cambria" w:hAnsi="Cambria"/>
      <w:sz w:val="18"/>
      <w:szCs w:val="18"/>
    </w:rPr>
  </w:style>
  <w:style w:type="character" w:customStyle="1" w:styleId="BalloonTextChar">
    <w:name w:val="Balloon Text Char"/>
    <w:basedOn w:val="DefaultParagraphFont"/>
    <w:link w:val="BalloonText"/>
    <w:uiPriority w:val="99"/>
    <w:semiHidden/>
    <w:locked/>
    <w:rsid w:val="00EC74B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537885346">
      <w:marLeft w:val="0"/>
      <w:marRight w:val="0"/>
      <w:marTop w:val="0"/>
      <w:marBottom w:val="0"/>
      <w:divBdr>
        <w:top w:val="none" w:sz="0" w:space="0" w:color="auto"/>
        <w:left w:val="none" w:sz="0" w:space="0" w:color="auto"/>
        <w:bottom w:val="none" w:sz="0" w:space="0" w:color="auto"/>
        <w:right w:val="none" w:sz="0" w:space="0" w:color="auto"/>
      </w:divBdr>
    </w:div>
    <w:div w:id="1537885347">
      <w:marLeft w:val="0"/>
      <w:marRight w:val="0"/>
      <w:marTop w:val="0"/>
      <w:marBottom w:val="0"/>
      <w:divBdr>
        <w:top w:val="none" w:sz="0" w:space="0" w:color="auto"/>
        <w:left w:val="none" w:sz="0" w:space="0" w:color="auto"/>
        <w:bottom w:val="none" w:sz="0" w:space="0" w:color="auto"/>
        <w:right w:val="none" w:sz="0" w:space="0" w:color="auto"/>
      </w:divBdr>
    </w:div>
    <w:div w:id="1537885348">
      <w:marLeft w:val="0"/>
      <w:marRight w:val="0"/>
      <w:marTop w:val="0"/>
      <w:marBottom w:val="0"/>
      <w:divBdr>
        <w:top w:val="none" w:sz="0" w:space="0" w:color="auto"/>
        <w:left w:val="none" w:sz="0" w:space="0" w:color="auto"/>
        <w:bottom w:val="none" w:sz="0" w:space="0" w:color="auto"/>
        <w:right w:val="none" w:sz="0" w:space="0" w:color="auto"/>
      </w:divBdr>
    </w:div>
    <w:div w:id="1537885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628</Words>
  <Characters>3581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行政院人事行政總處辦理人權教育訓練參考資料</dc:title>
  <dc:subject/>
  <dc:creator>呂佩珊</dc:creator>
  <cp:keywords/>
  <dc:description/>
  <cp:lastModifiedBy>cyhgpcadmin</cp:lastModifiedBy>
  <cp:revision>2</cp:revision>
  <cp:lastPrinted>2014-06-05T10:57:00Z</cp:lastPrinted>
  <dcterms:created xsi:type="dcterms:W3CDTF">2014-06-10T09:03:00Z</dcterms:created>
  <dcterms:modified xsi:type="dcterms:W3CDTF">2014-06-10T09:03:00Z</dcterms:modified>
</cp:coreProperties>
</file>