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25" w:rsidRDefault="00374325" w:rsidP="001160EF">
      <w:pPr>
        <w:snapToGrid w:val="0"/>
        <w:jc w:val="center"/>
        <w:rPr>
          <w:rFonts w:ascii="標楷體" w:eastAsia="標楷體" w:hAnsi="標楷體"/>
          <w:b/>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42.45pt;margin-top:-50.25pt;width:47.65pt;height:39pt;z-index:251658240" stroked="f">
            <v:textbox inset="0,0,0,0">
              <w:txbxContent>
                <w:p w:rsidR="00374325" w:rsidRPr="00D00418" w:rsidRDefault="00374325">
                  <w:pPr>
                    <w:rPr>
                      <w:rFonts w:ascii="標楷體" w:eastAsia="標楷體" w:hAnsi="標楷體"/>
                      <w:b/>
                      <w:sz w:val="32"/>
                      <w:szCs w:val="32"/>
                    </w:rPr>
                  </w:pPr>
                  <w:r w:rsidRPr="00D00418">
                    <w:rPr>
                      <w:rFonts w:ascii="標楷體" w:eastAsia="標楷體" w:hAnsi="標楷體" w:hint="eastAsia"/>
                      <w:b/>
                      <w:sz w:val="32"/>
                      <w:szCs w:val="32"/>
                    </w:rPr>
                    <w:t>附件</w:t>
                  </w:r>
                  <w:r w:rsidRPr="00D00418">
                    <w:rPr>
                      <w:rFonts w:ascii="標楷體" w:eastAsia="標楷體" w:hAnsi="標楷體"/>
                      <w:b/>
                      <w:sz w:val="32"/>
                      <w:szCs w:val="32"/>
                    </w:rPr>
                    <w:t>1</w:t>
                  </w:r>
                </w:p>
              </w:txbxContent>
            </v:textbox>
          </v:shape>
        </w:pict>
      </w:r>
      <w:r w:rsidRPr="001160EF">
        <w:rPr>
          <w:rFonts w:ascii="標楷體" w:eastAsia="標楷體" w:hAnsi="標楷體" w:hint="eastAsia"/>
          <w:b/>
          <w:sz w:val="36"/>
          <w:szCs w:val="36"/>
        </w:rPr>
        <w:t>公務人員高等考試三級考試公職建築師類科相關規定</w:t>
      </w:r>
    </w:p>
    <w:p w:rsidR="00374325" w:rsidRDefault="00374325" w:rsidP="009023E4">
      <w:pPr>
        <w:snapToGrid w:val="0"/>
        <w:spacing w:afterLines="50"/>
        <w:jc w:val="center"/>
        <w:rPr>
          <w:rFonts w:ascii="標楷體" w:eastAsia="標楷體" w:hAnsi="標楷體"/>
          <w:b/>
          <w:sz w:val="36"/>
          <w:szCs w:val="36"/>
        </w:rPr>
      </w:pPr>
      <w:r w:rsidRPr="001160EF">
        <w:rPr>
          <w:rFonts w:ascii="標楷體" w:eastAsia="標楷體" w:hAnsi="標楷體" w:hint="eastAsia"/>
          <w:b/>
          <w:sz w:val="36"/>
          <w:szCs w:val="36"/>
        </w:rPr>
        <w:t>修正意見回覆表</w:t>
      </w:r>
    </w:p>
    <w:tbl>
      <w:tblPr>
        <w:tblW w:w="9563" w:type="dxa"/>
        <w:jc w:val="center"/>
        <w:tblInd w:w="-37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tblPr>
      <w:tblGrid>
        <w:gridCol w:w="426"/>
        <w:gridCol w:w="2720"/>
        <w:gridCol w:w="2580"/>
        <w:gridCol w:w="2071"/>
        <w:gridCol w:w="1766"/>
      </w:tblGrid>
      <w:tr w:rsidR="00374325" w:rsidRPr="00E44C36" w:rsidTr="001160EF">
        <w:trPr>
          <w:cantSplit/>
          <w:trHeight w:val="20"/>
          <w:tblHeader/>
          <w:jc w:val="center"/>
        </w:trPr>
        <w:tc>
          <w:tcPr>
            <w:tcW w:w="426" w:type="dxa"/>
            <w:tcBorders>
              <w:top w:val="single" w:sz="8" w:space="0" w:color="000000"/>
            </w:tcBorders>
            <w:tcMar>
              <w:top w:w="28" w:type="dxa"/>
              <w:left w:w="28" w:type="dxa"/>
              <w:bottom w:w="28" w:type="dxa"/>
              <w:right w:w="28" w:type="dxa"/>
            </w:tcMar>
            <w:vAlign w:val="center"/>
          </w:tcPr>
          <w:p w:rsidR="00374325" w:rsidRPr="00E44C36" w:rsidRDefault="00374325" w:rsidP="000C7CA0">
            <w:pPr>
              <w:pStyle w:val="BodyText2"/>
              <w:spacing w:line="320" w:lineRule="exact"/>
              <w:rPr>
                <w:b/>
                <w:sz w:val="26"/>
                <w:szCs w:val="26"/>
              </w:rPr>
            </w:pPr>
          </w:p>
        </w:tc>
        <w:tc>
          <w:tcPr>
            <w:tcW w:w="2720" w:type="dxa"/>
            <w:tcBorders>
              <w:top w:val="single" w:sz="8" w:space="0" w:color="000000"/>
            </w:tcBorders>
          </w:tcPr>
          <w:p w:rsidR="00374325" w:rsidRPr="00E44C36" w:rsidRDefault="00374325" w:rsidP="000C7CA0">
            <w:pPr>
              <w:snapToGrid w:val="0"/>
              <w:spacing w:line="300" w:lineRule="exact"/>
              <w:jc w:val="center"/>
              <w:rPr>
                <w:rFonts w:ascii="標楷體" w:eastAsia="標楷體" w:hAnsi="標楷體"/>
                <w:b/>
                <w:kern w:val="20"/>
                <w:sz w:val="26"/>
                <w:szCs w:val="26"/>
              </w:rPr>
            </w:pPr>
            <w:r w:rsidRPr="00E44C36">
              <w:rPr>
                <w:rFonts w:ascii="標楷體" w:eastAsia="標楷體" w:hAnsi="標楷體" w:hint="eastAsia"/>
                <w:b/>
                <w:kern w:val="20"/>
                <w:sz w:val="26"/>
                <w:szCs w:val="26"/>
              </w:rPr>
              <w:t>現行規定</w:t>
            </w:r>
          </w:p>
        </w:tc>
        <w:tc>
          <w:tcPr>
            <w:tcW w:w="2580" w:type="dxa"/>
            <w:tcBorders>
              <w:top w:val="single" w:sz="8" w:space="0" w:color="000000"/>
            </w:tcBorders>
          </w:tcPr>
          <w:p w:rsidR="00374325" w:rsidRPr="00E44C36" w:rsidRDefault="00374325" w:rsidP="000C7CA0">
            <w:pPr>
              <w:snapToGrid w:val="0"/>
              <w:spacing w:line="300" w:lineRule="exact"/>
              <w:jc w:val="center"/>
              <w:rPr>
                <w:rFonts w:ascii="標楷體" w:eastAsia="標楷體" w:hAnsi="標楷體"/>
                <w:b/>
                <w:kern w:val="20"/>
                <w:sz w:val="26"/>
                <w:szCs w:val="26"/>
              </w:rPr>
            </w:pPr>
            <w:r w:rsidRPr="00E44C36">
              <w:rPr>
                <w:rFonts w:ascii="標楷體" w:eastAsia="標楷體" w:hAnsi="標楷體" w:hint="eastAsia"/>
                <w:b/>
                <w:kern w:val="20"/>
                <w:sz w:val="26"/>
                <w:szCs w:val="26"/>
              </w:rPr>
              <w:t>修正規定</w:t>
            </w:r>
          </w:p>
        </w:tc>
        <w:tc>
          <w:tcPr>
            <w:tcW w:w="2071" w:type="dxa"/>
            <w:tcBorders>
              <w:top w:val="single" w:sz="8" w:space="0" w:color="000000"/>
            </w:tcBorders>
          </w:tcPr>
          <w:p w:rsidR="00374325" w:rsidRPr="00E44C36" w:rsidRDefault="00374325" w:rsidP="000C7CA0">
            <w:pPr>
              <w:snapToGrid w:val="0"/>
              <w:spacing w:line="300" w:lineRule="exact"/>
              <w:jc w:val="center"/>
              <w:rPr>
                <w:rFonts w:ascii="標楷體" w:eastAsia="標楷體" w:hAnsi="標楷體"/>
                <w:b/>
                <w:kern w:val="20"/>
                <w:sz w:val="26"/>
                <w:szCs w:val="26"/>
              </w:rPr>
            </w:pPr>
            <w:r>
              <w:rPr>
                <w:rFonts w:ascii="標楷體" w:eastAsia="標楷體" w:hAnsi="標楷體" w:hint="eastAsia"/>
                <w:b/>
                <w:kern w:val="20"/>
                <w:sz w:val="26"/>
                <w:szCs w:val="26"/>
              </w:rPr>
              <w:t>說明</w:t>
            </w:r>
          </w:p>
        </w:tc>
        <w:tc>
          <w:tcPr>
            <w:tcW w:w="1766" w:type="dxa"/>
            <w:tcBorders>
              <w:top w:val="single" w:sz="8" w:space="0" w:color="000000"/>
            </w:tcBorders>
          </w:tcPr>
          <w:p w:rsidR="00374325" w:rsidRDefault="00374325" w:rsidP="000C7CA0">
            <w:pPr>
              <w:snapToGrid w:val="0"/>
              <w:spacing w:line="300" w:lineRule="exact"/>
              <w:jc w:val="center"/>
              <w:rPr>
                <w:rFonts w:ascii="標楷體" w:eastAsia="標楷體" w:hAnsi="標楷體"/>
                <w:b/>
                <w:kern w:val="20"/>
                <w:sz w:val="26"/>
                <w:szCs w:val="26"/>
              </w:rPr>
            </w:pPr>
            <w:r>
              <w:rPr>
                <w:rFonts w:ascii="標楷體" w:eastAsia="標楷體" w:hAnsi="標楷體" w:hint="eastAsia"/>
                <w:b/>
                <w:kern w:val="20"/>
                <w:sz w:val="26"/>
                <w:szCs w:val="26"/>
              </w:rPr>
              <w:t>機關意見</w:t>
            </w:r>
          </w:p>
        </w:tc>
      </w:tr>
      <w:tr w:rsidR="00374325" w:rsidRPr="00E44C36" w:rsidTr="001160EF">
        <w:trPr>
          <w:cantSplit/>
          <w:trHeight w:val="12332"/>
          <w:jc w:val="center"/>
        </w:trPr>
        <w:tc>
          <w:tcPr>
            <w:tcW w:w="426" w:type="dxa"/>
            <w:tcBorders>
              <w:bottom w:val="single" w:sz="4" w:space="0" w:color="auto"/>
            </w:tcBorders>
            <w:tcMar>
              <w:top w:w="28" w:type="dxa"/>
              <w:left w:w="28" w:type="dxa"/>
              <w:bottom w:w="28" w:type="dxa"/>
              <w:right w:w="28" w:type="dxa"/>
            </w:tcMar>
            <w:vAlign w:val="center"/>
          </w:tcPr>
          <w:p w:rsidR="00374325" w:rsidRPr="00D81E6D" w:rsidRDefault="00374325" w:rsidP="00012564">
            <w:pPr>
              <w:pStyle w:val="BodyText2"/>
              <w:spacing w:line="320" w:lineRule="exact"/>
              <w:rPr>
                <w:b/>
                <w:sz w:val="26"/>
                <w:szCs w:val="26"/>
              </w:rPr>
            </w:pPr>
            <w:r w:rsidRPr="00D81E6D">
              <w:rPr>
                <w:rFonts w:hint="eastAsia"/>
                <w:b/>
                <w:sz w:val="26"/>
                <w:szCs w:val="26"/>
              </w:rPr>
              <w:t>應考資格</w:t>
            </w:r>
          </w:p>
        </w:tc>
        <w:tc>
          <w:tcPr>
            <w:tcW w:w="2720" w:type="dxa"/>
            <w:tcBorders>
              <w:bottom w:val="single" w:sz="4" w:space="0" w:color="auto"/>
            </w:tcBorders>
          </w:tcPr>
          <w:p w:rsidR="00374325" w:rsidRPr="00E44C36" w:rsidRDefault="00374325" w:rsidP="00012564">
            <w:pPr>
              <w:snapToGrid w:val="0"/>
              <w:spacing w:line="300" w:lineRule="exact"/>
              <w:jc w:val="both"/>
              <w:rPr>
                <w:rFonts w:ascii="標楷體" w:eastAsia="標楷體" w:hAnsi="標楷體"/>
                <w:kern w:val="20"/>
                <w:sz w:val="26"/>
                <w:szCs w:val="26"/>
              </w:rPr>
            </w:pPr>
            <w:r w:rsidRPr="00E44C36">
              <w:rPr>
                <w:rFonts w:ascii="標楷體" w:eastAsia="標楷體" w:hAnsi="標楷體" w:hint="eastAsia"/>
                <w:kern w:val="20"/>
                <w:sz w:val="26"/>
                <w:szCs w:val="26"/>
              </w:rPr>
              <w:t>具有下列各款資格之一，並領有建築師證書及經中央主管機關審查具有三年以上工程經驗證明文件者，得應本考試：</w:t>
            </w:r>
          </w:p>
          <w:p w:rsidR="00374325" w:rsidRPr="001160EF" w:rsidRDefault="00374325" w:rsidP="00E44C36">
            <w:pPr>
              <w:spacing w:line="300" w:lineRule="exact"/>
              <w:ind w:left="481" w:hangingChars="185" w:hanging="481"/>
              <w:jc w:val="both"/>
              <w:rPr>
                <w:rFonts w:ascii="標楷體" w:eastAsia="標楷體" w:hAnsi="標楷體"/>
                <w:kern w:val="0"/>
                <w:sz w:val="26"/>
                <w:szCs w:val="26"/>
              </w:rPr>
            </w:pPr>
            <w:r w:rsidRPr="00E44C36">
              <w:rPr>
                <w:rFonts w:ascii="標楷體" w:eastAsia="標楷體" w:hAnsi="標楷體" w:hint="eastAsia"/>
                <w:kern w:val="20"/>
                <w:sz w:val="26"/>
                <w:szCs w:val="26"/>
              </w:rPr>
              <w:t>一、公立或立案之私立獨立學院以上學校或符合教育部採認規定之國外獨立學院以上學校</w:t>
            </w:r>
            <w:r w:rsidRPr="001160EF">
              <w:rPr>
                <w:rFonts w:ascii="標楷體" w:eastAsia="標楷體" w:hAnsi="標楷體" w:hint="eastAsia"/>
                <w:kern w:val="20"/>
                <w:sz w:val="26"/>
                <w:szCs w:val="26"/>
              </w:rPr>
              <w:t>土木工程、土木與生態工程</w:t>
            </w:r>
            <w:r w:rsidRPr="001160EF">
              <w:rPr>
                <w:rFonts w:ascii="標楷體" w:eastAsia="標楷體" w:hAnsi="標楷體" w:hint="eastAsia"/>
                <w:kern w:val="0"/>
                <w:sz w:val="26"/>
                <w:szCs w:val="26"/>
              </w:rPr>
              <w:t>、土木與防災工程、工業設計系建築工程組、公共工程、建築、建築工程、建築及都市計畫、建築及都市設計、都市發展與建築、建築與室內設計、空間設計、建築設計、建築與文化資產保存、建築與古蹟維護、建築與城鄉、軍事工程、造園景觀、景觀、景觀建築、景觀設計、景觀設計與管理、景觀與遊憩、景觀與遊憩管理、營建工程、營建工程與管理各院、系、組、所、學位學程畢業得有證書。</w:t>
            </w:r>
          </w:p>
          <w:p w:rsidR="00374325" w:rsidRPr="001160EF" w:rsidRDefault="00374325" w:rsidP="001160EF">
            <w:pPr>
              <w:spacing w:line="300" w:lineRule="exact"/>
              <w:ind w:left="481" w:hangingChars="185" w:hanging="481"/>
              <w:jc w:val="both"/>
              <w:rPr>
                <w:rFonts w:ascii="標楷體" w:eastAsia="標楷體" w:hAnsi="標楷體"/>
                <w:kern w:val="0"/>
                <w:sz w:val="26"/>
                <w:szCs w:val="26"/>
              </w:rPr>
            </w:pPr>
            <w:r w:rsidRPr="001160EF">
              <w:rPr>
                <w:rFonts w:ascii="標楷體" w:eastAsia="標楷體" w:hAnsi="標楷體" w:hint="eastAsia"/>
                <w:kern w:val="0"/>
                <w:sz w:val="26"/>
                <w:szCs w:val="26"/>
              </w:rPr>
              <w:t>二、經高等考試或相當高等考試之特種考試相當類科及格，普通考試或相當普通考試之特種考試相當類科及格滿三年。</w:t>
            </w:r>
          </w:p>
          <w:p w:rsidR="00374325" w:rsidRPr="001160EF" w:rsidRDefault="00374325" w:rsidP="001160EF">
            <w:pPr>
              <w:spacing w:line="300" w:lineRule="exact"/>
              <w:ind w:left="481" w:hangingChars="185" w:hanging="481"/>
              <w:jc w:val="both"/>
              <w:rPr>
                <w:rFonts w:ascii="標楷體" w:eastAsia="標楷體" w:hAnsi="標楷體"/>
                <w:kern w:val="20"/>
                <w:sz w:val="26"/>
                <w:szCs w:val="26"/>
              </w:rPr>
            </w:pPr>
            <w:r w:rsidRPr="001160EF">
              <w:rPr>
                <w:rFonts w:ascii="標楷體" w:eastAsia="標楷體" w:hAnsi="標楷體" w:hint="eastAsia"/>
                <w:kern w:val="0"/>
                <w:sz w:val="26"/>
                <w:szCs w:val="26"/>
              </w:rPr>
              <w:t>三、經高等檢定考試相當類科及格。</w:t>
            </w:r>
          </w:p>
        </w:tc>
        <w:tc>
          <w:tcPr>
            <w:tcW w:w="2580" w:type="dxa"/>
            <w:tcBorders>
              <w:bottom w:val="single" w:sz="4" w:space="0" w:color="auto"/>
            </w:tcBorders>
          </w:tcPr>
          <w:p w:rsidR="00374325" w:rsidRPr="00E44C36" w:rsidRDefault="00374325" w:rsidP="005D32F0">
            <w:pPr>
              <w:snapToGrid w:val="0"/>
              <w:spacing w:line="300" w:lineRule="exact"/>
              <w:jc w:val="both"/>
              <w:rPr>
                <w:rFonts w:ascii="標楷體" w:eastAsia="標楷體" w:hAnsi="標楷體"/>
                <w:kern w:val="20"/>
                <w:sz w:val="26"/>
                <w:szCs w:val="26"/>
              </w:rPr>
            </w:pPr>
            <w:r w:rsidRPr="00E44C36">
              <w:rPr>
                <w:rFonts w:ascii="標楷體" w:eastAsia="標楷體" w:hAnsi="標楷體" w:hint="eastAsia"/>
                <w:kern w:val="20"/>
                <w:sz w:val="26"/>
                <w:szCs w:val="26"/>
              </w:rPr>
              <w:t>具有下列各款資格之一，並領有建築師證書及</w:t>
            </w:r>
            <w:r>
              <w:rPr>
                <w:rFonts w:ascii="標楷體" w:eastAsia="標楷體" w:hAnsi="標楷體" w:hint="eastAsia"/>
                <w:kern w:val="20"/>
                <w:sz w:val="26"/>
                <w:szCs w:val="26"/>
              </w:rPr>
              <w:t>領證後</w:t>
            </w:r>
            <w:r w:rsidRPr="00E44C36">
              <w:rPr>
                <w:rFonts w:ascii="標楷體" w:eastAsia="標楷體" w:hAnsi="標楷體" w:hint="eastAsia"/>
                <w:kern w:val="20"/>
                <w:sz w:val="26"/>
                <w:szCs w:val="26"/>
              </w:rPr>
              <w:t>經中央主管機關審查具有三年以上工程經驗證明文件者，得應本考試：</w:t>
            </w:r>
          </w:p>
          <w:p w:rsidR="00374325" w:rsidRPr="00E44C36" w:rsidRDefault="00374325" w:rsidP="00E44C36">
            <w:pPr>
              <w:spacing w:line="300" w:lineRule="exact"/>
              <w:ind w:left="520" w:hangingChars="200" w:hanging="520"/>
              <w:jc w:val="both"/>
              <w:rPr>
                <w:rFonts w:ascii="標楷體" w:eastAsia="標楷體" w:hAnsi="標楷體"/>
                <w:kern w:val="20"/>
                <w:sz w:val="26"/>
                <w:szCs w:val="26"/>
              </w:rPr>
            </w:pPr>
            <w:r w:rsidRPr="00E44C36">
              <w:rPr>
                <w:rFonts w:ascii="標楷體" w:eastAsia="標楷體" w:hAnsi="標楷體" w:hint="eastAsia"/>
                <w:kern w:val="20"/>
                <w:sz w:val="26"/>
                <w:szCs w:val="26"/>
              </w:rPr>
              <w:t>一、公立或立案之私立獨立學院以上學校或符合教育部採認規定之國外獨立學院以上學校各院、系、組、所、學位學程畢業得有證書。</w:t>
            </w:r>
          </w:p>
          <w:p w:rsidR="00374325" w:rsidRPr="00E44C36" w:rsidRDefault="00374325" w:rsidP="00E44C36">
            <w:pPr>
              <w:spacing w:line="320" w:lineRule="exact"/>
              <w:ind w:left="520" w:hangingChars="200" w:hanging="520"/>
              <w:jc w:val="both"/>
              <w:rPr>
                <w:rFonts w:ascii="標楷體" w:eastAsia="標楷體" w:hAnsi="標楷體"/>
                <w:kern w:val="20"/>
                <w:sz w:val="26"/>
                <w:szCs w:val="26"/>
              </w:rPr>
            </w:pPr>
            <w:r w:rsidRPr="00E44C36">
              <w:rPr>
                <w:rFonts w:ascii="標楷體" w:eastAsia="標楷體" w:hAnsi="標楷體" w:hint="eastAsia"/>
                <w:kern w:val="20"/>
                <w:sz w:val="26"/>
                <w:szCs w:val="26"/>
              </w:rPr>
              <w:t>二、經高等考試或相當高等考試之特種考試相當類科及格，普通考試或相當普通考試之特種考試相當類科及格滿三年。</w:t>
            </w:r>
          </w:p>
          <w:p w:rsidR="00374325" w:rsidRPr="00E44C36" w:rsidRDefault="00374325" w:rsidP="00E44C36">
            <w:pPr>
              <w:snapToGrid w:val="0"/>
              <w:spacing w:line="300" w:lineRule="exact"/>
              <w:ind w:left="520" w:hangingChars="200" w:hanging="520"/>
              <w:jc w:val="both"/>
              <w:rPr>
                <w:rFonts w:ascii="標楷體" w:eastAsia="標楷體" w:hAnsi="標楷體"/>
                <w:kern w:val="20"/>
                <w:sz w:val="26"/>
                <w:szCs w:val="26"/>
              </w:rPr>
            </w:pPr>
            <w:r w:rsidRPr="00E44C36">
              <w:rPr>
                <w:rFonts w:ascii="標楷體" w:eastAsia="標楷體" w:hAnsi="標楷體" w:hint="eastAsia"/>
                <w:kern w:val="20"/>
                <w:sz w:val="26"/>
                <w:szCs w:val="26"/>
              </w:rPr>
              <w:t>三、經高等檢定考試相當類科及格。</w:t>
            </w:r>
          </w:p>
        </w:tc>
        <w:tc>
          <w:tcPr>
            <w:tcW w:w="2071" w:type="dxa"/>
            <w:tcBorders>
              <w:bottom w:val="single" w:sz="4" w:space="0" w:color="auto"/>
            </w:tcBorders>
          </w:tcPr>
          <w:p w:rsidR="00374325" w:rsidRPr="00F87709" w:rsidRDefault="00374325" w:rsidP="00F87709">
            <w:pPr>
              <w:snapToGrid w:val="0"/>
              <w:spacing w:line="300" w:lineRule="exact"/>
              <w:jc w:val="both"/>
              <w:rPr>
                <w:rFonts w:ascii="標楷體" w:eastAsia="標楷體" w:hAnsi="標楷體"/>
                <w:kern w:val="20"/>
                <w:sz w:val="26"/>
                <w:szCs w:val="26"/>
              </w:rPr>
            </w:pPr>
            <w:r>
              <w:rPr>
                <w:rFonts w:ascii="標楷體" w:eastAsia="標楷體" w:hAnsi="標楷體" w:hint="eastAsia"/>
                <w:kern w:val="20"/>
                <w:sz w:val="26"/>
                <w:szCs w:val="26"/>
              </w:rPr>
              <w:t>參採現行公職土木工程技師類科規定，</w:t>
            </w:r>
            <w:r w:rsidRPr="00F87709">
              <w:rPr>
                <w:rFonts w:ascii="標楷體" w:eastAsia="標楷體" w:hAnsi="標楷體" w:hint="eastAsia"/>
                <w:kern w:val="20"/>
                <w:sz w:val="26"/>
                <w:szCs w:val="26"/>
              </w:rPr>
              <w:t>應考人須具備相關專技</w:t>
            </w:r>
            <w:r>
              <w:rPr>
                <w:rFonts w:ascii="標楷體" w:eastAsia="標楷體" w:hAnsi="標楷體" w:hint="eastAsia"/>
                <w:kern w:val="20"/>
                <w:sz w:val="26"/>
                <w:szCs w:val="26"/>
              </w:rPr>
              <w:t>人員</w:t>
            </w:r>
            <w:r w:rsidRPr="00F87709">
              <w:rPr>
                <w:rFonts w:ascii="標楷體" w:eastAsia="標楷體" w:hAnsi="標楷體" w:hint="eastAsia"/>
                <w:kern w:val="20"/>
                <w:sz w:val="26"/>
                <w:szCs w:val="26"/>
              </w:rPr>
              <w:t>證書始得應試</w:t>
            </w:r>
            <w:r>
              <w:rPr>
                <w:rFonts w:ascii="標楷體" w:eastAsia="標楷體" w:hAnsi="標楷體" w:hint="eastAsia"/>
                <w:kern w:val="20"/>
                <w:sz w:val="26"/>
                <w:szCs w:val="26"/>
              </w:rPr>
              <w:t>，其修習之系、組、所等</w:t>
            </w:r>
            <w:r w:rsidRPr="00F87709">
              <w:rPr>
                <w:rFonts w:ascii="標楷體" w:eastAsia="標楷體" w:hAnsi="標楷體" w:hint="eastAsia"/>
                <w:kern w:val="20"/>
                <w:sz w:val="26"/>
                <w:szCs w:val="26"/>
              </w:rPr>
              <w:t>業符合該專技類科規範，爰應考資格第一款已</w:t>
            </w:r>
            <w:r>
              <w:rPr>
                <w:rFonts w:ascii="標楷體" w:eastAsia="標楷體" w:hAnsi="標楷體" w:hint="eastAsia"/>
                <w:kern w:val="20"/>
                <w:sz w:val="26"/>
                <w:szCs w:val="26"/>
              </w:rPr>
              <w:t>無系、組、所</w:t>
            </w:r>
            <w:r w:rsidRPr="00F87709">
              <w:rPr>
                <w:rFonts w:ascii="標楷體" w:eastAsia="標楷體" w:hAnsi="標楷體" w:hint="eastAsia"/>
                <w:kern w:val="20"/>
                <w:sz w:val="26"/>
                <w:szCs w:val="26"/>
              </w:rPr>
              <w:t>限制</w:t>
            </w:r>
            <w:r>
              <w:rPr>
                <w:rFonts w:ascii="標楷體" w:eastAsia="標楷體" w:hAnsi="標楷體" w:hint="eastAsia"/>
                <w:kern w:val="20"/>
                <w:sz w:val="26"/>
                <w:szCs w:val="26"/>
              </w:rPr>
              <w:t>之</w:t>
            </w:r>
            <w:r w:rsidRPr="00F87709">
              <w:rPr>
                <w:rFonts w:ascii="標楷體" w:eastAsia="標楷體" w:hAnsi="標楷體" w:hint="eastAsia"/>
                <w:kern w:val="20"/>
                <w:sz w:val="26"/>
                <w:szCs w:val="26"/>
              </w:rPr>
              <w:t>必要。</w:t>
            </w:r>
            <w:r>
              <w:rPr>
                <w:rFonts w:ascii="標楷體" w:eastAsia="標楷體" w:hAnsi="標楷體" w:hint="eastAsia"/>
                <w:kern w:val="20"/>
                <w:sz w:val="26"/>
                <w:szCs w:val="26"/>
              </w:rPr>
              <w:t>另明確規定須於領證後之工程經驗始得採計。</w:t>
            </w:r>
          </w:p>
          <w:p w:rsidR="00374325" w:rsidRPr="00F87709" w:rsidRDefault="00374325" w:rsidP="00F87709">
            <w:pPr>
              <w:snapToGrid w:val="0"/>
              <w:spacing w:line="300" w:lineRule="exact"/>
              <w:jc w:val="both"/>
              <w:rPr>
                <w:rFonts w:ascii="標楷體" w:eastAsia="標楷體" w:hAnsi="標楷體"/>
                <w:kern w:val="20"/>
                <w:sz w:val="26"/>
                <w:szCs w:val="26"/>
              </w:rPr>
            </w:pPr>
          </w:p>
        </w:tc>
        <w:tc>
          <w:tcPr>
            <w:tcW w:w="1766" w:type="dxa"/>
            <w:tcBorders>
              <w:bottom w:val="single" w:sz="4" w:space="0" w:color="auto"/>
            </w:tcBorders>
          </w:tcPr>
          <w:p w:rsidR="00374325" w:rsidRDefault="00374325" w:rsidP="00F87709">
            <w:pPr>
              <w:snapToGrid w:val="0"/>
              <w:spacing w:line="300" w:lineRule="exact"/>
              <w:jc w:val="both"/>
              <w:rPr>
                <w:rFonts w:ascii="標楷體" w:eastAsia="標楷體" w:hAnsi="標楷體"/>
                <w:kern w:val="20"/>
                <w:sz w:val="26"/>
                <w:szCs w:val="26"/>
              </w:rPr>
            </w:pPr>
          </w:p>
        </w:tc>
      </w:tr>
      <w:tr w:rsidR="00374325" w:rsidRPr="00E44C36" w:rsidTr="001160EF">
        <w:trPr>
          <w:cantSplit/>
          <w:trHeight w:val="20"/>
          <w:jc w:val="center"/>
        </w:trPr>
        <w:tc>
          <w:tcPr>
            <w:tcW w:w="426" w:type="dxa"/>
            <w:tcBorders>
              <w:bottom w:val="single" w:sz="8" w:space="0" w:color="000000"/>
            </w:tcBorders>
            <w:tcMar>
              <w:top w:w="28" w:type="dxa"/>
              <w:left w:w="28" w:type="dxa"/>
              <w:bottom w:w="28" w:type="dxa"/>
              <w:right w:w="28" w:type="dxa"/>
            </w:tcMar>
            <w:vAlign w:val="center"/>
          </w:tcPr>
          <w:p w:rsidR="00374325" w:rsidRPr="00D81E6D" w:rsidRDefault="00374325" w:rsidP="000C7CA0">
            <w:pPr>
              <w:pStyle w:val="BodyText2"/>
              <w:spacing w:line="320" w:lineRule="exact"/>
              <w:rPr>
                <w:b/>
                <w:sz w:val="26"/>
                <w:szCs w:val="26"/>
              </w:rPr>
            </w:pPr>
            <w:r w:rsidRPr="00D81E6D">
              <w:rPr>
                <w:rFonts w:hint="eastAsia"/>
                <w:b/>
                <w:sz w:val="26"/>
                <w:szCs w:val="26"/>
              </w:rPr>
              <w:t>應試科目</w:t>
            </w:r>
          </w:p>
        </w:tc>
        <w:tc>
          <w:tcPr>
            <w:tcW w:w="2720" w:type="dxa"/>
            <w:tcBorders>
              <w:bottom w:val="single" w:sz="8" w:space="0" w:color="000000"/>
            </w:tcBorders>
          </w:tcPr>
          <w:p w:rsidR="00374325" w:rsidRPr="00E44C36" w:rsidRDefault="00374325" w:rsidP="00EA3E24">
            <w:pPr>
              <w:pStyle w:val="a"/>
              <w:spacing w:before="0" w:beforeAutospacing="0" w:after="0" w:afterAutospacing="0" w:line="260" w:lineRule="exact"/>
              <w:rPr>
                <w:rFonts w:ascii="標楷體" w:eastAsia="標楷體" w:hAnsi="標楷體"/>
                <w:b/>
                <w:color w:val="000000"/>
                <w:sz w:val="26"/>
                <w:szCs w:val="26"/>
              </w:rPr>
            </w:pPr>
            <w:r w:rsidRPr="00E44C36">
              <w:rPr>
                <w:rFonts w:ascii="標楷體" w:eastAsia="標楷體" w:hAnsi="標楷體" w:hint="eastAsia"/>
                <w:b/>
                <w:color w:val="000000"/>
                <w:sz w:val="26"/>
                <w:szCs w:val="26"/>
              </w:rPr>
              <w:t>普通科目</w:t>
            </w:r>
          </w:p>
          <w:p w:rsidR="00374325" w:rsidRPr="00E44C36" w:rsidRDefault="00374325" w:rsidP="00E44C36">
            <w:pPr>
              <w:pStyle w:val="a"/>
              <w:spacing w:before="0" w:beforeAutospacing="0" w:after="0" w:afterAutospacing="0" w:line="260" w:lineRule="exact"/>
              <w:ind w:left="780" w:hangingChars="300" w:hanging="780"/>
              <w:rPr>
                <w:rFonts w:ascii="標楷體" w:eastAsia="標楷體" w:hAnsi="標楷體"/>
                <w:color w:val="000000"/>
                <w:sz w:val="26"/>
                <w:szCs w:val="26"/>
              </w:rPr>
            </w:pPr>
            <w:r w:rsidRPr="00E44C36">
              <w:rPr>
                <w:rFonts w:ascii="標楷體" w:eastAsia="標楷體" w:hAnsi="標楷體" w:hint="eastAsia"/>
                <w:color w:val="000000"/>
                <w:sz w:val="26"/>
                <w:szCs w:val="26"/>
              </w:rPr>
              <w:t>◎一、國文（作文、公文與測驗）。</w:t>
            </w:r>
          </w:p>
          <w:p w:rsidR="00374325" w:rsidRPr="00E44C36" w:rsidRDefault="00374325" w:rsidP="00E44C36">
            <w:pPr>
              <w:pStyle w:val="a"/>
              <w:spacing w:before="0" w:beforeAutospacing="0" w:after="0" w:afterAutospacing="0" w:line="260" w:lineRule="exact"/>
              <w:ind w:left="780" w:hangingChars="300" w:hanging="780"/>
              <w:rPr>
                <w:rFonts w:ascii="標楷體" w:eastAsia="標楷體" w:hAnsi="標楷體"/>
                <w:color w:val="000000"/>
                <w:sz w:val="26"/>
                <w:szCs w:val="26"/>
              </w:rPr>
            </w:pPr>
            <w:r w:rsidRPr="00E44C36">
              <w:rPr>
                <w:rFonts w:ascii="標楷體" w:eastAsia="標楷體" w:hAnsi="標楷體" w:hint="eastAsia"/>
                <w:color w:val="000000"/>
                <w:sz w:val="26"/>
                <w:szCs w:val="26"/>
              </w:rPr>
              <w:t>※二、法學知識與英文（包括中華民國憲法、法學緒論、英文）</w:t>
            </w:r>
          </w:p>
          <w:p w:rsidR="00374325" w:rsidRPr="00E44C36" w:rsidRDefault="00374325" w:rsidP="00E44C36">
            <w:pPr>
              <w:pStyle w:val="a"/>
              <w:spacing w:before="0" w:beforeAutospacing="0" w:after="0" w:afterAutospacing="0" w:line="260" w:lineRule="exact"/>
              <w:ind w:left="781" w:hangingChars="300" w:hanging="781"/>
              <w:rPr>
                <w:rFonts w:ascii="標楷體" w:eastAsia="標楷體" w:hAnsi="標楷體"/>
                <w:b/>
                <w:color w:val="000000"/>
                <w:sz w:val="26"/>
                <w:szCs w:val="26"/>
              </w:rPr>
            </w:pPr>
            <w:r w:rsidRPr="00E44C36">
              <w:rPr>
                <w:rFonts w:ascii="標楷體" w:eastAsia="標楷體" w:hAnsi="標楷體" w:hint="eastAsia"/>
                <w:b/>
                <w:color w:val="000000"/>
                <w:sz w:val="26"/>
                <w:szCs w:val="26"/>
              </w:rPr>
              <w:t>專業科目</w:t>
            </w:r>
          </w:p>
          <w:p w:rsidR="00374325" w:rsidRPr="00E44C36" w:rsidRDefault="00374325" w:rsidP="00E44C36">
            <w:pPr>
              <w:pStyle w:val="a"/>
              <w:snapToGrid w:val="0"/>
              <w:spacing w:before="0" w:beforeAutospacing="0" w:after="0" w:afterAutospacing="0" w:line="280" w:lineRule="exact"/>
              <w:ind w:leftChars="91" w:left="730" w:hangingChars="197" w:hanging="512"/>
              <w:jc w:val="both"/>
              <w:rPr>
                <w:rFonts w:ascii="標楷體" w:eastAsia="標楷體" w:hAnsi="標楷體"/>
                <w:color w:val="000000"/>
                <w:sz w:val="26"/>
                <w:szCs w:val="26"/>
              </w:rPr>
            </w:pPr>
            <w:r w:rsidRPr="00E44C36">
              <w:rPr>
                <w:rFonts w:ascii="標楷體" w:eastAsia="標楷體" w:hAnsi="標楷體" w:hint="eastAsia"/>
                <w:color w:val="000000"/>
                <w:sz w:val="26"/>
                <w:szCs w:val="26"/>
              </w:rPr>
              <w:t>三、建管行政</w:t>
            </w:r>
          </w:p>
          <w:p w:rsidR="00374325" w:rsidRPr="00E44C36" w:rsidRDefault="00374325" w:rsidP="00E44C36">
            <w:pPr>
              <w:pStyle w:val="a"/>
              <w:snapToGrid w:val="0"/>
              <w:spacing w:before="0" w:beforeAutospacing="0" w:after="0" w:afterAutospacing="0" w:line="280" w:lineRule="exact"/>
              <w:ind w:leftChars="91" w:left="730" w:hangingChars="197" w:hanging="512"/>
              <w:jc w:val="both"/>
              <w:rPr>
                <w:rFonts w:ascii="標楷體" w:eastAsia="標楷體" w:hAnsi="標楷體"/>
                <w:color w:val="000000"/>
                <w:sz w:val="26"/>
                <w:szCs w:val="26"/>
              </w:rPr>
            </w:pPr>
            <w:r w:rsidRPr="00E44C36">
              <w:rPr>
                <w:rFonts w:ascii="標楷體" w:eastAsia="標楷體" w:hAnsi="標楷體" w:hint="eastAsia"/>
                <w:color w:val="000000"/>
                <w:sz w:val="26"/>
                <w:szCs w:val="26"/>
              </w:rPr>
              <w:t>四、營建法規與實務</w:t>
            </w:r>
          </w:p>
          <w:p w:rsidR="00374325" w:rsidRPr="00E44C36" w:rsidRDefault="00374325" w:rsidP="005D32F0">
            <w:pPr>
              <w:snapToGrid w:val="0"/>
              <w:spacing w:line="300" w:lineRule="exact"/>
              <w:jc w:val="both"/>
              <w:rPr>
                <w:rFonts w:ascii="標楷體" w:eastAsia="標楷體" w:hAnsi="標楷體"/>
                <w:kern w:val="20"/>
                <w:sz w:val="26"/>
                <w:szCs w:val="26"/>
              </w:rPr>
            </w:pPr>
            <w:r w:rsidRPr="00E44C36">
              <w:rPr>
                <w:rFonts w:ascii="標楷體" w:eastAsia="標楷體" w:hAnsi="標楷體"/>
                <w:color w:val="000000"/>
                <w:sz w:val="26"/>
                <w:szCs w:val="26"/>
              </w:rPr>
              <w:t xml:space="preserve">  </w:t>
            </w:r>
            <w:r w:rsidRPr="00E44C36">
              <w:rPr>
                <w:rFonts w:ascii="標楷體" w:eastAsia="標楷體" w:hAnsi="標楷體" w:hint="eastAsia"/>
                <w:color w:val="000000"/>
                <w:sz w:val="26"/>
                <w:szCs w:val="26"/>
              </w:rPr>
              <w:t>五、建築結構系統</w:t>
            </w:r>
          </w:p>
        </w:tc>
        <w:tc>
          <w:tcPr>
            <w:tcW w:w="2580" w:type="dxa"/>
            <w:tcBorders>
              <w:bottom w:val="single" w:sz="8" w:space="0" w:color="000000"/>
            </w:tcBorders>
          </w:tcPr>
          <w:p w:rsidR="00374325" w:rsidRDefault="00374325" w:rsidP="00155441">
            <w:pPr>
              <w:snapToGrid w:val="0"/>
              <w:spacing w:line="300" w:lineRule="exact"/>
              <w:jc w:val="both"/>
              <w:rPr>
                <w:rFonts w:ascii="標楷體" w:eastAsia="標楷體" w:hAnsi="標楷體"/>
                <w:b/>
                <w:kern w:val="20"/>
                <w:sz w:val="26"/>
                <w:szCs w:val="26"/>
              </w:rPr>
            </w:pPr>
            <w:r w:rsidRPr="00E44C36">
              <w:rPr>
                <w:rFonts w:ascii="標楷體" w:eastAsia="標楷體" w:hAnsi="標楷體" w:hint="eastAsia"/>
                <w:b/>
                <w:kern w:val="20"/>
                <w:sz w:val="26"/>
                <w:szCs w:val="26"/>
              </w:rPr>
              <w:t>第一試筆試</w:t>
            </w:r>
            <w:r w:rsidRPr="00E44C36">
              <w:rPr>
                <w:rFonts w:ascii="標楷體" w:eastAsia="標楷體" w:hAnsi="標楷體"/>
                <w:b/>
                <w:kern w:val="20"/>
                <w:sz w:val="26"/>
                <w:szCs w:val="26"/>
              </w:rPr>
              <w:t>(80%)</w:t>
            </w:r>
            <w:r w:rsidRPr="00E44C36">
              <w:rPr>
                <w:rFonts w:ascii="標楷體" w:eastAsia="標楷體" w:hAnsi="標楷體" w:hint="eastAsia"/>
                <w:b/>
                <w:kern w:val="20"/>
                <w:sz w:val="26"/>
                <w:szCs w:val="26"/>
              </w:rPr>
              <w:t>，免列考普通科目</w:t>
            </w:r>
          </w:p>
          <w:p w:rsidR="00374325" w:rsidRPr="00E44C36" w:rsidRDefault="00374325" w:rsidP="00155441">
            <w:pPr>
              <w:snapToGrid w:val="0"/>
              <w:spacing w:line="300" w:lineRule="exact"/>
              <w:jc w:val="both"/>
              <w:rPr>
                <w:rFonts w:ascii="標楷體" w:eastAsia="標楷體" w:hAnsi="標楷體"/>
                <w:b/>
                <w:kern w:val="20"/>
                <w:sz w:val="26"/>
                <w:szCs w:val="26"/>
              </w:rPr>
            </w:pPr>
          </w:p>
          <w:p w:rsidR="00374325" w:rsidRPr="00E44C36" w:rsidRDefault="00374325" w:rsidP="00434B99">
            <w:pPr>
              <w:snapToGrid w:val="0"/>
              <w:spacing w:line="300" w:lineRule="exact"/>
              <w:jc w:val="both"/>
              <w:rPr>
                <w:rFonts w:ascii="標楷體" w:eastAsia="標楷體" w:hAnsi="標楷體"/>
                <w:kern w:val="20"/>
                <w:sz w:val="26"/>
                <w:szCs w:val="26"/>
              </w:rPr>
            </w:pPr>
            <w:r w:rsidRPr="00E44C36">
              <w:rPr>
                <w:rFonts w:ascii="標楷體" w:eastAsia="標楷體" w:hAnsi="標楷體" w:hint="eastAsia"/>
                <w:kern w:val="20"/>
                <w:sz w:val="26"/>
                <w:szCs w:val="26"/>
              </w:rPr>
              <w:t>一、建築結構系統</w:t>
            </w:r>
          </w:p>
          <w:p w:rsidR="00374325" w:rsidRPr="00E44C36" w:rsidRDefault="00374325" w:rsidP="00E44C36">
            <w:pPr>
              <w:snapToGrid w:val="0"/>
              <w:spacing w:line="300" w:lineRule="exact"/>
              <w:ind w:left="520" w:hangingChars="200" w:hanging="520"/>
              <w:jc w:val="both"/>
              <w:rPr>
                <w:rFonts w:ascii="標楷體" w:eastAsia="標楷體" w:hAnsi="標楷體"/>
                <w:kern w:val="20"/>
                <w:sz w:val="26"/>
                <w:szCs w:val="26"/>
              </w:rPr>
            </w:pPr>
            <w:r w:rsidRPr="00E44C36">
              <w:rPr>
                <w:rFonts w:ascii="標楷體" w:eastAsia="標楷體" w:hAnsi="標楷體" w:hint="eastAsia"/>
                <w:kern w:val="20"/>
                <w:sz w:val="26"/>
                <w:szCs w:val="26"/>
              </w:rPr>
              <w:t>二、行政法、建管行政、營建及其相關法規</w:t>
            </w:r>
          </w:p>
          <w:p w:rsidR="00374325" w:rsidRPr="00E44C36" w:rsidRDefault="00374325" w:rsidP="00434B99">
            <w:pPr>
              <w:snapToGrid w:val="0"/>
              <w:spacing w:line="300" w:lineRule="exact"/>
              <w:jc w:val="both"/>
              <w:rPr>
                <w:rFonts w:ascii="標楷體" w:eastAsia="標楷體" w:hAnsi="標楷體"/>
                <w:kern w:val="20"/>
                <w:sz w:val="26"/>
                <w:szCs w:val="26"/>
              </w:rPr>
            </w:pPr>
          </w:p>
          <w:p w:rsidR="00374325" w:rsidRPr="00E44C36" w:rsidRDefault="00374325" w:rsidP="005D32F0">
            <w:pPr>
              <w:snapToGrid w:val="0"/>
              <w:spacing w:line="300" w:lineRule="exact"/>
              <w:jc w:val="both"/>
              <w:rPr>
                <w:rFonts w:ascii="標楷體" w:eastAsia="標楷體" w:hAnsi="標楷體"/>
                <w:b/>
                <w:kern w:val="20"/>
                <w:sz w:val="26"/>
                <w:szCs w:val="26"/>
              </w:rPr>
            </w:pPr>
            <w:r w:rsidRPr="00E44C36">
              <w:rPr>
                <w:rFonts w:ascii="標楷體" w:eastAsia="標楷體" w:hAnsi="標楷體" w:hint="eastAsia"/>
                <w:b/>
                <w:kern w:val="20"/>
                <w:sz w:val="26"/>
                <w:szCs w:val="26"/>
              </w:rPr>
              <w:t>第二試口試</w:t>
            </w:r>
            <w:r w:rsidRPr="00E44C36">
              <w:rPr>
                <w:rFonts w:ascii="標楷體" w:eastAsia="標楷體" w:hAnsi="標楷體"/>
                <w:b/>
                <w:kern w:val="20"/>
                <w:sz w:val="26"/>
                <w:szCs w:val="26"/>
              </w:rPr>
              <w:t>(20%)</w:t>
            </w:r>
          </w:p>
          <w:p w:rsidR="00374325" w:rsidRPr="00E44C36" w:rsidRDefault="00374325" w:rsidP="005D32F0">
            <w:pPr>
              <w:snapToGrid w:val="0"/>
              <w:spacing w:line="300" w:lineRule="exact"/>
              <w:jc w:val="both"/>
              <w:rPr>
                <w:rFonts w:ascii="標楷體" w:eastAsia="標楷體" w:hAnsi="標楷體"/>
                <w:kern w:val="20"/>
                <w:sz w:val="26"/>
                <w:szCs w:val="26"/>
              </w:rPr>
            </w:pPr>
          </w:p>
          <w:p w:rsidR="00374325" w:rsidRPr="00E44C36" w:rsidRDefault="00374325" w:rsidP="005D32F0">
            <w:pPr>
              <w:snapToGrid w:val="0"/>
              <w:spacing w:line="300" w:lineRule="exact"/>
              <w:jc w:val="both"/>
              <w:rPr>
                <w:rFonts w:ascii="標楷體" w:eastAsia="標楷體" w:hAnsi="標楷體"/>
                <w:kern w:val="20"/>
                <w:sz w:val="26"/>
                <w:szCs w:val="26"/>
              </w:rPr>
            </w:pPr>
          </w:p>
        </w:tc>
        <w:tc>
          <w:tcPr>
            <w:tcW w:w="2071" w:type="dxa"/>
            <w:tcBorders>
              <w:bottom w:val="single" w:sz="8" w:space="0" w:color="000000"/>
            </w:tcBorders>
          </w:tcPr>
          <w:p w:rsidR="00374325" w:rsidRPr="001160EF" w:rsidRDefault="00374325" w:rsidP="001160EF">
            <w:pPr>
              <w:adjustRightInd w:val="0"/>
              <w:snapToGrid w:val="0"/>
              <w:jc w:val="both"/>
              <w:rPr>
                <w:rFonts w:eastAsia="標楷體" w:hAnsi="標楷體"/>
                <w:sz w:val="26"/>
                <w:szCs w:val="26"/>
              </w:rPr>
            </w:pPr>
            <w:r w:rsidRPr="00F87709">
              <w:rPr>
                <w:rFonts w:ascii="標楷體" w:eastAsia="標楷體" w:hAnsi="標楷體" w:hint="eastAsia"/>
                <w:kern w:val="20"/>
                <w:sz w:val="26"/>
                <w:szCs w:val="26"/>
              </w:rPr>
              <w:t>參採現行公職土木工程技師類科規定，</w:t>
            </w:r>
            <w:r w:rsidRPr="00F87709">
              <w:rPr>
                <w:rFonts w:eastAsia="標楷體" w:hAnsi="標楷體" w:hint="eastAsia"/>
                <w:sz w:val="26"/>
                <w:szCs w:val="26"/>
              </w:rPr>
              <w:t>考量應考人需具備專技考試及格資格及相關工</w:t>
            </w:r>
            <w:r>
              <w:rPr>
                <w:rFonts w:eastAsia="標楷體" w:hAnsi="標楷體" w:hint="eastAsia"/>
                <w:sz w:val="26"/>
                <w:szCs w:val="26"/>
              </w:rPr>
              <w:t>程經歷始得應考，其執業能力業經國家考試及</w:t>
            </w:r>
            <w:r w:rsidRPr="00F87709">
              <w:rPr>
                <w:rFonts w:eastAsia="標楷體" w:hAnsi="標楷體" w:hint="eastAsia"/>
                <w:sz w:val="26"/>
                <w:szCs w:val="26"/>
              </w:rPr>
              <w:t>工作經驗之衡鑑</w:t>
            </w:r>
            <w:r>
              <w:rPr>
                <w:rFonts w:eastAsia="標楷體" w:hAnsi="標楷體" w:hint="eastAsia"/>
                <w:sz w:val="26"/>
                <w:szCs w:val="26"/>
              </w:rPr>
              <w:t>，</w:t>
            </w:r>
            <w:r w:rsidRPr="00F87709">
              <w:rPr>
                <w:rFonts w:eastAsia="標楷體" w:hAnsi="標楷體" w:hint="eastAsia"/>
                <w:sz w:val="26"/>
                <w:szCs w:val="26"/>
              </w:rPr>
              <w:t>除著重應考人專業知能外，更應重視其溝通能力、人格特質及應變能力</w:t>
            </w:r>
            <w:r>
              <w:rPr>
                <w:rFonts w:eastAsia="標楷體" w:hAnsi="標楷體" w:hint="eastAsia"/>
                <w:sz w:val="26"/>
                <w:szCs w:val="26"/>
              </w:rPr>
              <w:t>等</w:t>
            </w:r>
            <w:r w:rsidRPr="00F87709">
              <w:rPr>
                <w:rFonts w:eastAsia="標楷體" w:hAnsi="標楷體" w:hint="eastAsia"/>
                <w:sz w:val="26"/>
                <w:szCs w:val="26"/>
              </w:rPr>
              <w:t>，爰</w:t>
            </w:r>
            <w:r>
              <w:rPr>
                <w:rFonts w:eastAsia="標楷體" w:hAnsi="標楷體" w:hint="eastAsia"/>
                <w:sz w:val="26"/>
                <w:szCs w:val="26"/>
              </w:rPr>
              <w:t>除</w:t>
            </w:r>
            <w:r w:rsidRPr="00F87709">
              <w:rPr>
                <w:rFonts w:eastAsia="標楷體" w:hAnsi="標楷體" w:hint="eastAsia"/>
                <w:sz w:val="26"/>
                <w:szCs w:val="26"/>
              </w:rPr>
              <w:t>筆試</w:t>
            </w:r>
            <w:r>
              <w:rPr>
                <w:rFonts w:eastAsia="標楷體" w:hAnsi="標楷體" w:hint="eastAsia"/>
                <w:sz w:val="26"/>
                <w:szCs w:val="26"/>
              </w:rPr>
              <w:t>外，另增加第二試口試。又第一試筆試免列考普通科目，</w:t>
            </w:r>
            <w:r w:rsidRPr="00F87709">
              <w:rPr>
                <w:rFonts w:ascii="標楷體" w:eastAsia="標楷體" w:hAnsi="標楷體" w:hint="eastAsia"/>
                <w:sz w:val="26"/>
                <w:szCs w:val="26"/>
              </w:rPr>
              <w:t>專業科目酌減為二科，其中一科列考專業科目，一科列考相關專業法規。</w:t>
            </w:r>
          </w:p>
        </w:tc>
        <w:tc>
          <w:tcPr>
            <w:tcW w:w="1766" w:type="dxa"/>
            <w:tcBorders>
              <w:bottom w:val="single" w:sz="8" w:space="0" w:color="000000"/>
            </w:tcBorders>
          </w:tcPr>
          <w:p w:rsidR="00374325" w:rsidRPr="00F87709" w:rsidRDefault="00374325" w:rsidP="001160EF">
            <w:pPr>
              <w:adjustRightInd w:val="0"/>
              <w:snapToGrid w:val="0"/>
              <w:jc w:val="both"/>
              <w:rPr>
                <w:rFonts w:ascii="標楷體" w:eastAsia="標楷體" w:hAnsi="標楷體"/>
                <w:kern w:val="20"/>
                <w:sz w:val="26"/>
                <w:szCs w:val="26"/>
              </w:rPr>
            </w:pPr>
          </w:p>
        </w:tc>
      </w:tr>
    </w:tbl>
    <w:p w:rsidR="00374325" w:rsidRDefault="00374325" w:rsidP="009023E4">
      <w:pPr>
        <w:snapToGrid w:val="0"/>
        <w:spacing w:afterLines="50"/>
        <w:jc w:val="both"/>
        <w:rPr>
          <w:rFonts w:ascii="標楷體" w:eastAsia="標楷體" w:hAnsi="標楷體"/>
          <w:color w:val="000000"/>
          <w:sz w:val="28"/>
          <w:szCs w:val="28"/>
        </w:rPr>
      </w:pPr>
      <w:r>
        <w:rPr>
          <w:rFonts w:ascii="標楷體" w:eastAsia="標楷體" w:hAnsi="標楷體"/>
          <w:color w:val="000000"/>
          <w:sz w:val="28"/>
          <w:szCs w:val="28"/>
        </w:rPr>
        <w:t xml:space="preserve"> </w:t>
      </w:r>
    </w:p>
    <w:p w:rsidR="00374325" w:rsidRDefault="00374325" w:rsidP="009023E4">
      <w:pPr>
        <w:snapToGrid w:val="0"/>
        <w:spacing w:afterLines="50"/>
        <w:jc w:val="both"/>
        <w:rPr>
          <w:rFonts w:ascii="標楷體" w:eastAsia="標楷體" w:hAnsi="標楷體"/>
          <w:color w:val="000000"/>
          <w:sz w:val="28"/>
          <w:szCs w:val="28"/>
        </w:rPr>
      </w:pPr>
      <w:r w:rsidRPr="00D81E6D">
        <w:rPr>
          <w:rFonts w:ascii="標楷體" w:eastAsia="標楷體" w:hAnsi="標楷體" w:hint="eastAsia"/>
          <w:color w:val="000000"/>
          <w:sz w:val="28"/>
          <w:szCs w:val="28"/>
        </w:rPr>
        <w:t>承辦人：</w:t>
      </w:r>
      <w:r w:rsidRPr="00D81E6D">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hint="eastAsia"/>
          <w:color w:val="000000"/>
          <w:sz w:val="28"/>
          <w:szCs w:val="28"/>
        </w:rPr>
        <w:t>聯絡電話：</w:t>
      </w:r>
    </w:p>
    <w:p w:rsidR="00374325" w:rsidRPr="009023E4" w:rsidRDefault="00374325" w:rsidP="009023E4">
      <w:pPr>
        <w:snapToGrid w:val="0"/>
        <w:jc w:val="both"/>
        <w:rPr>
          <w:rFonts w:ascii="標楷體" w:eastAsia="標楷體" w:hAnsi="標楷體"/>
          <w:color w:val="000000"/>
          <w:sz w:val="28"/>
          <w:szCs w:val="28"/>
        </w:rPr>
      </w:pPr>
      <w:r w:rsidRPr="009023E4">
        <w:rPr>
          <w:rFonts w:ascii="標楷體" w:eastAsia="標楷體" w:hAnsi="標楷體" w:hint="eastAsia"/>
          <w:color w:val="000000"/>
          <w:sz w:val="28"/>
          <w:szCs w:val="28"/>
        </w:rPr>
        <w:t>備註：</w:t>
      </w:r>
    </w:p>
    <w:p w:rsidR="00374325" w:rsidRPr="009023E4" w:rsidRDefault="00374325" w:rsidP="009023E4">
      <w:pPr>
        <w:snapToGrid w:val="0"/>
        <w:jc w:val="both"/>
        <w:rPr>
          <w:rFonts w:ascii="標楷體" w:eastAsia="標楷體" w:hAnsi="標楷體"/>
          <w:color w:val="000000"/>
          <w:sz w:val="28"/>
          <w:szCs w:val="28"/>
        </w:rPr>
      </w:pPr>
      <w:r w:rsidRPr="009023E4">
        <w:rPr>
          <w:rFonts w:ascii="標楷體" w:eastAsia="標楷體" w:hAnsi="標楷體" w:hint="eastAsia"/>
          <w:color w:val="000000"/>
          <w:sz w:val="28"/>
          <w:szCs w:val="28"/>
        </w:rPr>
        <w:t>貴所如有建議，</w:t>
      </w:r>
      <w:hyperlink r:id="rId5" w:history="1">
        <w:r w:rsidRPr="009023E4">
          <w:rPr>
            <w:rStyle w:val="Hyperlink"/>
            <w:rFonts w:ascii="標楷體" w:eastAsia="標楷體" w:hAnsi="標楷體" w:hint="eastAsia"/>
            <w:sz w:val="28"/>
            <w:szCs w:val="28"/>
          </w:rPr>
          <w:t>請填妥後逕傳承辦人信箱</w:t>
        </w:r>
        <w:r w:rsidRPr="009023E4">
          <w:rPr>
            <w:rStyle w:val="Hyperlink"/>
            <w:rFonts w:ascii="標楷體" w:eastAsia="標楷體" w:hAnsi="標楷體"/>
            <w:sz w:val="28"/>
            <w:szCs w:val="28"/>
          </w:rPr>
          <w:t>princeling@mail.cyhg.gov.tw</w:t>
        </w:r>
      </w:hyperlink>
      <w:r>
        <w:rPr>
          <w:rFonts w:ascii="標楷體" w:eastAsia="標楷體" w:hAnsi="標楷體" w:hint="eastAsia"/>
          <w:color w:val="000000"/>
          <w:sz w:val="28"/>
          <w:szCs w:val="28"/>
        </w:rPr>
        <w:t>，如無則免復</w:t>
      </w:r>
      <w:r w:rsidRPr="009023E4">
        <w:rPr>
          <w:rFonts w:ascii="標楷體" w:eastAsia="標楷體" w:hAnsi="標楷體" w:hint="eastAsia"/>
          <w:color w:val="000000"/>
          <w:sz w:val="28"/>
          <w:szCs w:val="28"/>
        </w:rPr>
        <w:t>。</w:t>
      </w:r>
    </w:p>
    <w:p w:rsidR="00374325" w:rsidRPr="009023E4" w:rsidRDefault="00374325" w:rsidP="00F63589">
      <w:pPr>
        <w:snapToGrid w:val="0"/>
        <w:spacing w:afterLines="50"/>
        <w:rPr>
          <w:sz w:val="28"/>
          <w:szCs w:val="28"/>
        </w:rPr>
      </w:pPr>
    </w:p>
    <w:sectPr w:rsidR="00374325" w:rsidRPr="009023E4" w:rsidSect="001160EF">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8E4"/>
    <w:multiLevelType w:val="hybridMultilevel"/>
    <w:tmpl w:val="841456F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AD90B9C"/>
    <w:multiLevelType w:val="hybridMultilevel"/>
    <w:tmpl w:val="26841760"/>
    <w:lvl w:ilvl="0" w:tplc="A6A2FDB2">
      <w:numFmt w:val="bullet"/>
      <w:lvlText w:val="※"/>
      <w:lvlJc w:val="left"/>
      <w:pPr>
        <w:tabs>
          <w:tab w:val="num" w:pos="600"/>
        </w:tabs>
        <w:ind w:left="600" w:hanging="360"/>
      </w:pPr>
      <w:rPr>
        <w:rFonts w:ascii="標楷體" w:eastAsia="標楷體" w:hAnsi="標楷體"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CA0"/>
    <w:rsid w:val="00012564"/>
    <w:rsid w:val="00014337"/>
    <w:rsid w:val="000C7CA0"/>
    <w:rsid w:val="001160EF"/>
    <w:rsid w:val="00155441"/>
    <w:rsid w:val="001D56A3"/>
    <w:rsid w:val="00290A6E"/>
    <w:rsid w:val="00292D68"/>
    <w:rsid w:val="00374325"/>
    <w:rsid w:val="00434B99"/>
    <w:rsid w:val="004671FE"/>
    <w:rsid w:val="004F2240"/>
    <w:rsid w:val="005B1880"/>
    <w:rsid w:val="005B7C47"/>
    <w:rsid w:val="005C59D8"/>
    <w:rsid w:val="005D32F0"/>
    <w:rsid w:val="00747252"/>
    <w:rsid w:val="008A5477"/>
    <w:rsid w:val="009023E4"/>
    <w:rsid w:val="009F5521"/>
    <w:rsid w:val="00AC151C"/>
    <w:rsid w:val="00C5342B"/>
    <w:rsid w:val="00C73BE0"/>
    <w:rsid w:val="00D00418"/>
    <w:rsid w:val="00D01622"/>
    <w:rsid w:val="00D81E6D"/>
    <w:rsid w:val="00DD0098"/>
    <w:rsid w:val="00E44C36"/>
    <w:rsid w:val="00E4541C"/>
    <w:rsid w:val="00EA3E24"/>
    <w:rsid w:val="00F63589"/>
    <w:rsid w:val="00F87709"/>
    <w:rsid w:val="00FA12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A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C7CA0"/>
    <w:pPr>
      <w:spacing w:line="300" w:lineRule="exact"/>
      <w:jc w:val="center"/>
    </w:pPr>
    <w:rPr>
      <w:rFonts w:ascii="標楷體" w:eastAsia="標楷體" w:hAnsi="標楷體"/>
      <w:szCs w:val="20"/>
    </w:rPr>
  </w:style>
  <w:style w:type="character" w:customStyle="1" w:styleId="BodyText2Char">
    <w:name w:val="Body Text 2 Char"/>
    <w:basedOn w:val="DefaultParagraphFont"/>
    <w:link w:val="BodyText2"/>
    <w:uiPriority w:val="99"/>
    <w:locked/>
    <w:rsid w:val="000C7CA0"/>
    <w:rPr>
      <w:rFonts w:ascii="標楷體" w:eastAsia="標楷體" w:hAnsi="標楷體" w:cs="Times New Roman"/>
      <w:sz w:val="20"/>
      <w:szCs w:val="20"/>
    </w:rPr>
  </w:style>
  <w:style w:type="paragraph" w:customStyle="1" w:styleId="a">
    <w:name w:val="表科"/>
    <w:basedOn w:val="Normal"/>
    <w:uiPriority w:val="99"/>
    <w:rsid w:val="00EA3E24"/>
    <w:pPr>
      <w:widowControl/>
      <w:spacing w:before="100" w:beforeAutospacing="1" w:after="100" w:afterAutospacing="1"/>
    </w:pPr>
    <w:rPr>
      <w:rFonts w:ascii="新細明體"/>
      <w:kern w:val="0"/>
    </w:rPr>
  </w:style>
  <w:style w:type="paragraph" w:styleId="ListParagraph">
    <w:name w:val="List Paragraph"/>
    <w:basedOn w:val="Normal"/>
    <w:uiPriority w:val="99"/>
    <w:qFormat/>
    <w:rsid w:val="005D32F0"/>
    <w:pPr>
      <w:ind w:leftChars="200" w:left="480"/>
    </w:pPr>
  </w:style>
  <w:style w:type="paragraph" w:styleId="BalloonText">
    <w:name w:val="Balloon Text"/>
    <w:basedOn w:val="Normal"/>
    <w:link w:val="BalloonTextChar"/>
    <w:uiPriority w:val="99"/>
    <w:semiHidden/>
    <w:rsid w:val="00D00418"/>
    <w:rPr>
      <w:rFonts w:ascii="Cambria" w:hAnsi="Cambria"/>
      <w:sz w:val="18"/>
      <w:szCs w:val="18"/>
    </w:rPr>
  </w:style>
  <w:style w:type="character" w:customStyle="1" w:styleId="BalloonTextChar">
    <w:name w:val="Balloon Text Char"/>
    <w:basedOn w:val="DefaultParagraphFont"/>
    <w:link w:val="BalloonText"/>
    <w:uiPriority w:val="99"/>
    <w:semiHidden/>
    <w:locked/>
    <w:rsid w:val="00D00418"/>
    <w:rPr>
      <w:rFonts w:ascii="Cambria" w:eastAsia="新細明體" w:hAnsi="Cambria" w:cs="Times New Roman"/>
      <w:sz w:val="18"/>
      <w:szCs w:val="18"/>
    </w:rPr>
  </w:style>
  <w:style w:type="character" w:styleId="Hyperlink">
    <w:name w:val="Hyperlink"/>
    <w:basedOn w:val="DefaultParagraphFont"/>
    <w:uiPriority w:val="99"/>
    <w:rsid w:val="009023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5531;&#22635;&#22949;&#24460;&#36885;&#20659;&#25215;&#36774;&#20154;&#20449;&#31665;princeling@mail.cyhg.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173</Words>
  <Characters>989</Characters>
  <Application>Microsoft Office Outlook</Application>
  <DocSecurity>0</DocSecurity>
  <Lines>0</Lines>
  <Paragraphs>0</Paragraphs>
  <ScaleCrop>false</ScaleCrop>
  <Company>moex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公務人員高等考試三級考試公職建築師類科相關規定</dc:title>
  <dc:subject/>
  <dc:creator>000304</dc:creator>
  <cp:keywords/>
  <dc:description/>
  <cp:lastModifiedBy>princeling</cp:lastModifiedBy>
  <cp:revision>2</cp:revision>
  <cp:lastPrinted>2014-06-04T00:52:00Z</cp:lastPrinted>
  <dcterms:created xsi:type="dcterms:W3CDTF">2014-06-04T00:52:00Z</dcterms:created>
  <dcterms:modified xsi:type="dcterms:W3CDTF">2014-06-04T00:52:00Z</dcterms:modified>
</cp:coreProperties>
</file>