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54" w:rsidRDefault="00C47F9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各機關聘僱案件作業簡化一覽表修正對照表</w:t>
      </w:r>
    </w:p>
    <w:tbl>
      <w:tblPr>
        <w:tblW w:w="20553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7583"/>
        <w:gridCol w:w="5387"/>
      </w:tblGrid>
      <w:tr w:rsidR="00C326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355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修正規定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355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現行規定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3550"/>
              </w:tabs>
            </w:pPr>
            <w:r>
              <w:rPr>
                <w:rFonts w:ascii="標楷體" w:eastAsia="標楷體" w:hAnsi="標楷體"/>
              </w:rPr>
              <w:t>有關各機關聘僱案件作業</w:t>
            </w:r>
            <w:r>
              <w:rPr>
                <w:rFonts w:ascii="標楷體" w:eastAsia="標楷體" w:hAnsi="標楷體"/>
                <w:color w:val="000000"/>
              </w:rPr>
              <w:t>，就不涉及修正現行聘僱管理法令之作業簡化措施規定如下：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3550"/>
              </w:tabs>
            </w:pPr>
            <w:r>
              <w:rPr>
                <w:rFonts w:ascii="標楷體" w:eastAsia="標楷體" w:hAnsi="標楷體"/>
              </w:rPr>
              <w:t>有關各機關聘僱案件作業</w:t>
            </w:r>
            <w:r>
              <w:rPr>
                <w:rFonts w:ascii="標楷體" w:eastAsia="標楷體" w:hAnsi="標楷體"/>
                <w:color w:val="000000"/>
              </w:rPr>
              <w:t>，就不涉及修正現行聘僱管理法令之作業簡化措施規定如下：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未修正。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3550"/>
              </w:tabs>
            </w:pPr>
            <w:r>
              <w:rPr>
                <w:rFonts w:ascii="標楷體" w:eastAsia="標楷體" w:hAnsi="標楷體"/>
                <w:bCs/>
                <w:color w:val="000000"/>
              </w:rPr>
              <w:t>壹、各機關經權責</w:t>
            </w:r>
            <w:r>
              <w:rPr>
                <w:rFonts w:ascii="標楷體" w:eastAsia="標楷體" w:hAnsi="標楷體"/>
                <w:bCs/>
              </w:rPr>
              <w:t>機關核定編列聘僱預算員額，並依相關聘僱法規進用之聘僱人員：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3550"/>
              </w:tabs>
            </w:pPr>
            <w:r>
              <w:rPr>
                <w:rFonts w:ascii="標楷體" w:eastAsia="標楷體" w:hAnsi="標楷體"/>
                <w:bCs/>
                <w:color w:val="000000"/>
              </w:rPr>
              <w:t>壹、各機關經權責</w:t>
            </w:r>
            <w:r>
              <w:rPr>
                <w:rFonts w:ascii="標楷體" w:eastAsia="標楷體" w:hAnsi="標楷體"/>
                <w:bCs/>
              </w:rPr>
              <w:t>機關核定編列聘僱預算員額，並依相關聘僱法規進用之聘僱人員：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未修正。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6058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</w:pPr>
            <w:r>
              <w:rPr>
                <w:rFonts w:ascii="標楷體" w:hAnsi="標楷體"/>
                <w:bCs/>
                <w:color w:val="000000"/>
                <w:sz w:val="24"/>
              </w:rPr>
              <w:t>一</w:t>
            </w:r>
            <w:r>
              <w:rPr>
                <w:rFonts w:ascii="標楷體" w:hAnsi="標楷體"/>
                <w:bCs/>
                <w:sz w:val="24"/>
              </w:rPr>
              <w:t>、聘（僱）用計畫書（表）：</w:t>
            </w:r>
          </w:p>
          <w:p w:rsidR="00C32654" w:rsidRDefault="00C47F98">
            <w:pPr>
              <w:tabs>
                <w:tab w:val="left" w:pos="3550"/>
              </w:tabs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（一）本院及所屬各中央機關部分：</w:t>
            </w:r>
          </w:p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436"/>
              <w:gridCol w:w="2234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簡化項目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簡化後做法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right="-26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備註</w:t>
                  </w:r>
                </w:p>
              </w:tc>
            </w:tr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調整聘（僱）用計畫書（表）之適用年度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right="5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各機關如係在原已奉核定之聘（僱）用計畫書（表）下，調整其適用年度，且聘僱計畫內容無變更者，得由本院所屬中央各主管機關授權所屬機關逕行核處，並副知本院所屬中央各主管機關。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32654">
                  <w:pPr>
                    <w:pStyle w:val="a7"/>
                    <w:tabs>
                      <w:tab w:val="left" w:pos="524"/>
                      <w:tab w:val="left" w:pos="3550"/>
                    </w:tabs>
                    <w:spacing w:before="36" w:after="36" w:line="400" w:lineRule="exact"/>
                    <w:ind w:right="-26"/>
                    <w:jc w:val="both"/>
                    <w:rPr>
                      <w:rFonts w:ascii="標楷體" w:hAnsi="標楷體"/>
                      <w:sz w:val="24"/>
                    </w:rPr>
                  </w:pPr>
                </w:p>
              </w:tc>
            </w:tr>
          </w:tbl>
          <w:p w:rsidR="00C32654" w:rsidRDefault="00C32654">
            <w:pPr>
              <w:tabs>
                <w:tab w:val="left" w:pos="3550"/>
              </w:tabs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</w:pPr>
            <w:r>
              <w:rPr>
                <w:rFonts w:ascii="標楷體" w:hAnsi="標楷體"/>
                <w:bCs/>
                <w:color w:val="000000"/>
                <w:sz w:val="24"/>
              </w:rPr>
              <w:t>一</w:t>
            </w:r>
            <w:r>
              <w:rPr>
                <w:rFonts w:ascii="標楷體" w:hAnsi="標楷體"/>
                <w:bCs/>
                <w:sz w:val="24"/>
              </w:rPr>
              <w:t>、聘（僱）用計畫書（表）：</w:t>
            </w:r>
          </w:p>
          <w:p w:rsidR="00C32654" w:rsidRDefault="00C47F98">
            <w:pPr>
              <w:tabs>
                <w:tab w:val="left" w:pos="3550"/>
              </w:tabs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（一）本院及所屬各中央機關部分：</w:t>
            </w:r>
          </w:p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436"/>
              <w:gridCol w:w="2234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簡化項目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簡化後做法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right="-26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備註</w:t>
                  </w:r>
                </w:p>
              </w:tc>
            </w:tr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調整聘（僱）用計畫書（表）之適用年度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right="5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各機關如係在原已奉核定之聘（僱）用計畫書（表）下，調整其適用年度，且聘僱計畫內容無變更者，得由本院所屬中央各主管機關授權所屬機關逕行核處，並副知本院所屬中央各主管機關。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32654">
                  <w:pPr>
                    <w:pStyle w:val="a7"/>
                    <w:tabs>
                      <w:tab w:val="left" w:pos="524"/>
                      <w:tab w:val="left" w:pos="3550"/>
                    </w:tabs>
                    <w:spacing w:before="36" w:after="36" w:line="400" w:lineRule="exact"/>
                    <w:ind w:right="-26"/>
                    <w:jc w:val="both"/>
                    <w:rPr>
                      <w:rFonts w:ascii="標楷體" w:hAnsi="標楷體"/>
                      <w:sz w:val="24"/>
                    </w:rPr>
                  </w:pPr>
                </w:p>
              </w:tc>
            </w:tr>
          </w:tbl>
          <w:p w:rsidR="00C32654" w:rsidRDefault="00C32654">
            <w:pPr>
              <w:tabs>
                <w:tab w:val="left" w:pos="3550"/>
              </w:tabs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spacing w:line="400" w:lineRule="exact"/>
              <w:ind w:left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未修正。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3083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32654"/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436"/>
              <w:gridCol w:w="2234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both"/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修改聘（僱）用計畫書（表）內容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依聘（僱）用計畫書（表）各項內容之修正情形，規定如下：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職稱、資格條件</w:t>
                  </w:r>
                  <w:r>
                    <w:rPr>
                      <w:rFonts w:ascii="標楷體" w:hAnsi="標楷體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變更聘僱人員之職稱，</w:t>
                  </w:r>
                  <w:r>
                    <w:rPr>
                      <w:rFonts w:ascii="標楷體" w:hAnsi="標楷體"/>
                      <w:sz w:val="24"/>
                    </w:rPr>
                    <w:t>或調整專門知能條件但不相對涉及報酬薪點之變動者，得由本院所屬中央各主管機關授權所屬機關逕行核處，並副知本院所屬中央各主管機關。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工作內容</w:t>
                  </w:r>
                  <w:r>
                    <w:rPr>
                      <w:rFonts w:ascii="標楷體" w:hAnsi="標楷體"/>
                      <w:sz w:val="24"/>
                    </w:rPr>
                    <w:t>：於原聘（僱）用計畫書（表）所列之「工作</w:t>
                  </w:r>
                  <w:r>
                    <w:rPr>
                      <w:rFonts w:ascii="標楷體" w:hAnsi="標楷體"/>
                      <w:sz w:val="24"/>
                    </w:rPr>
                    <w:lastRenderedPageBreak/>
                    <w:t>內容」範圍內，調整對該工作之文字表述方式，或於原以同一業務需求核定之聘（僱）用計畫書（表）間，調整各該職稱相關工作內容之配置者，授權本院所屬中央各主管機關逕行核處，並副知本院人事行政總處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3</w:t>
                  </w:r>
                  <w:r>
                    <w:rPr>
                      <w:rFonts w:ascii="標楷體" w:hAnsi="標楷體"/>
                      <w:sz w:val="24"/>
                    </w:rPr>
                    <w:t>、聘僱人數：配合本院核減機關聘僱預算員額，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或本院授權主管機關自行減列聘僱預算員額</w:t>
                  </w:r>
                  <w:r>
                    <w:rPr>
                      <w:rFonts w:ascii="標楷體" w:hAnsi="標楷體"/>
                      <w:sz w:val="24"/>
                    </w:rPr>
                    <w:t>而相對減列原聘（僱）用計畫書（表）所列之聘僱人數者，得由本院所屬中央各主管機關授權所屬機關逕行核處，並副知本院所屬中央各主管機關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及</w:t>
                  </w:r>
                  <w:r>
                    <w:rPr>
                      <w:rFonts w:ascii="標楷體" w:hAnsi="標楷體"/>
                      <w:sz w:val="24"/>
                    </w:rPr>
                    <w:t>本院人事行政總處。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4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折合金</w:t>
                  </w:r>
                  <w:r>
                    <w:rPr>
                      <w:rFonts w:ascii="標楷體" w:hAnsi="標楷體"/>
                      <w:sz w:val="24"/>
                    </w:rPr>
                    <w:t>額：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配合年度軍公教員工待遇調整或依報經本院專案核定之酬金</w:t>
                  </w:r>
                  <w:r>
                    <w:rPr>
                      <w:rFonts w:ascii="標楷體" w:hAnsi="標楷體"/>
                      <w:sz w:val="24"/>
                    </w:rPr>
                    <w:t>薪點折合率，相對調整原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聘（僱）用計畫書（表）所列月酬標準之折合金</w:t>
                  </w:r>
                  <w:r>
                    <w:rPr>
                      <w:rFonts w:ascii="標楷體" w:hAnsi="標楷體"/>
                      <w:sz w:val="24"/>
                    </w:rPr>
                    <w:t>額者，得由本院所屬中央各主管機關授權所屬機關逕行核處。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</w:pP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5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、經費來源及科目：修正經費來源及科目，得由本院所屬中央各主管機關授權所屬機關逕行核處，並副知本院所屬中央各主管機關、本院人事行政總處及本院主計總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lastRenderedPageBreak/>
                    <w:t>處。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6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、備註：配合列管現職人員實際出缺情形，刪除或修正列管規定，得由本院所屬中央各主管機關授權所屬機關逕行核處，並副知本院所屬中央各主管機關及本院人事行政總處。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spacing w:before="36" w:after="36" w:line="400" w:lineRule="exact"/>
                    <w:ind w:left="283" w:hanging="278"/>
                    <w:jc w:val="both"/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lastRenderedPageBreak/>
                    <w:t>1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工作內容部分：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工作內容調整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後，如已影響原職務之職責程度輕重，須相對調整其報酬薪點時，仍須報經本院核定。</w:t>
                  </w:r>
                </w:p>
                <w:p w:rsidR="00C32654" w:rsidRDefault="00C47F98">
                  <w:pPr>
                    <w:pStyle w:val="a7"/>
                    <w:spacing w:before="36" w:after="36" w:line="400" w:lineRule="exact"/>
                    <w:ind w:left="283" w:hanging="278"/>
                    <w:jc w:val="both"/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資格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條件</w:t>
                  </w: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部分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：資格條件修正後，如涉及報酬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lastRenderedPageBreak/>
                    <w:t>薪點之變動者，仍應報經本院核定。</w:t>
                  </w:r>
                </w:p>
                <w:p w:rsidR="00C32654" w:rsidRDefault="00C47F98">
                  <w:pPr>
                    <w:pStyle w:val="a7"/>
                    <w:spacing w:before="36" w:after="36" w:line="400" w:lineRule="exact"/>
                    <w:ind w:left="322" w:hanging="317"/>
                    <w:jc w:val="both"/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t>3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sz w:val="24"/>
                    </w:rPr>
                    <w:t>除依本院</w:t>
                  </w:r>
                  <w:r>
                    <w:rPr>
                      <w:rFonts w:ascii="標楷體" w:hAnsi="標楷體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sz w:val="24"/>
                    </w:rPr>
                    <w:t>年</w:t>
                  </w:r>
                  <w:r>
                    <w:rPr>
                      <w:rFonts w:ascii="標楷體" w:hAnsi="標楷體"/>
                      <w:sz w:val="24"/>
                    </w:rPr>
                    <w:t>12</w:t>
                  </w:r>
                  <w:r>
                    <w:rPr>
                      <w:rFonts w:ascii="標楷體" w:hAnsi="標楷體"/>
                      <w:sz w:val="24"/>
                    </w:rPr>
                    <w:t>月</w:t>
                  </w:r>
                  <w:r>
                    <w:rPr>
                      <w:rFonts w:ascii="標楷體" w:hAnsi="標楷體"/>
                      <w:sz w:val="24"/>
                    </w:rPr>
                    <w:t>24</w:t>
                  </w:r>
                  <w:r>
                    <w:rPr>
                      <w:rFonts w:ascii="標楷體" w:hAnsi="標楷體"/>
                      <w:sz w:val="24"/>
                    </w:rPr>
                    <w:t>日台</w:t>
                  </w:r>
                  <w:r>
                    <w:rPr>
                      <w:rFonts w:ascii="標楷體" w:hAnsi="標楷體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sz w:val="24"/>
                    </w:rPr>
                    <w:t>人政肆字第</w:t>
                  </w:r>
                  <w:r>
                    <w:rPr>
                      <w:rFonts w:ascii="標楷體" w:hAnsi="標楷體"/>
                      <w:sz w:val="24"/>
                    </w:rPr>
                    <w:t>53044</w:t>
                  </w:r>
                  <w:r>
                    <w:rPr>
                      <w:rFonts w:ascii="標楷體" w:hAnsi="標楷體"/>
                      <w:sz w:val="24"/>
                    </w:rPr>
                    <w:t>號函規定，服務於山僻、離島之聘僱人員，授權由各部會行處局署院、省政府、省諮議會、縣市政府、縣市議會在同一服務地區編制內公教員工「地域加給」之基本標準金額範圍內，衡酌實際狀況，酌予提高其酬金薪點折合率標準，不受本院訂頒通案薪點折合率最高標準之限制等情形外，如以超過本院規定通案標準之薪點折合率調整原聘（僱）用計畫書（表）所列「折合金額」者，仍需報經本院核定。</w:t>
                  </w:r>
                </w:p>
                <w:p w:rsidR="00C32654" w:rsidRDefault="00C47F98">
                  <w:pPr>
                    <w:pStyle w:val="a7"/>
                    <w:spacing w:before="36" w:after="36" w:line="400" w:lineRule="exact"/>
                    <w:ind w:left="322" w:hanging="317"/>
                    <w:jc w:val="both"/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</w:pP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lastRenderedPageBreak/>
                    <w:t>4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、列管之現職人員出缺後，如有應重行檢討職稱、工作內容、月酬標準等情事，其聘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(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僱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)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用計畫書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(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表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)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仍需報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經本院核定。</w:t>
                  </w:r>
                </w:p>
              </w:tc>
            </w:tr>
          </w:tbl>
          <w:p w:rsidR="00C32654" w:rsidRDefault="00C32654">
            <w:pPr>
              <w:tabs>
                <w:tab w:val="left" w:pos="3550"/>
              </w:tabs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32654"/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436"/>
              <w:gridCol w:w="2234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both"/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修改聘（僱）用計畫書（表）內容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依聘（僱）用計畫書（表）各項內容之修正情形，規定如下：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職稱、資格條件</w:t>
                  </w:r>
                  <w:r>
                    <w:rPr>
                      <w:rFonts w:ascii="標楷體" w:hAnsi="標楷體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變更聘僱人員之職稱，</w:t>
                  </w:r>
                  <w:r>
                    <w:rPr>
                      <w:rFonts w:ascii="標楷體" w:hAnsi="標楷體"/>
                      <w:sz w:val="24"/>
                    </w:rPr>
                    <w:t>或調整專門知能條件但不相對涉及報酬薪點之變動者，得由本院所屬中央各主管機關授權所屬機關逕行核處，並副知本院所屬中央各主管機關。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工作內容</w:t>
                  </w:r>
                  <w:r>
                    <w:rPr>
                      <w:rFonts w:ascii="標楷體" w:hAnsi="標楷體"/>
                      <w:sz w:val="24"/>
                    </w:rPr>
                    <w:t>：於原聘（僱）用計畫書（表）所列之「工作</w:t>
                  </w:r>
                  <w:r>
                    <w:rPr>
                      <w:rFonts w:ascii="標楷體" w:hAnsi="標楷體"/>
                      <w:sz w:val="24"/>
                    </w:rPr>
                    <w:lastRenderedPageBreak/>
                    <w:t>內容」範圍內，調整對該工作之文字表述方式，或於原以同一業務需求核定之聘（僱）用計畫書（表）間，調整各該職稱相關工作內容之配置者，授權本院所屬中央各主管機關逕行核處，並副知本院人事行政總處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3</w:t>
                  </w:r>
                  <w:r>
                    <w:rPr>
                      <w:rFonts w:ascii="標楷體" w:hAnsi="標楷體"/>
                      <w:sz w:val="24"/>
                    </w:rPr>
                    <w:t>、聘僱人數：配合本院核減機關聘僱預算員額而相對減列原聘（僱）用計畫書（表）所列之聘僱人數者，得由本院所屬中央各主管機關授權所屬機關逕行核處，並副知本院所屬中央各主管機關、本院人事行政總處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及銓敍部</w:t>
                  </w:r>
                  <w:r>
                    <w:rPr>
                      <w:rFonts w:ascii="標楷體" w:hAnsi="標楷體"/>
                      <w:sz w:val="24"/>
                    </w:rPr>
                    <w:t>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hanging="283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4</w:t>
                  </w:r>
                  <w:r>
                    <w:rPr>
                      <w:rFonts w:ascii="新細明體" w:eastAsia="新細明體" w:hAnsi="新細明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折合金</w:t>
                  </w:r>
                  <w:r>
                    <w:rPr>
                      <w:rFonts w:ascii="標楷體" w:hAnsi="標楷體"/>
                      <w:sz w:val="24"/>
                    </w:rPr>
                    <w:t>額：年度中因本院通案調整薪點折合率，相對調整原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聘（僱）用計畫書（表）所列月酬標準之折合金</w:t>
                  </w:r>
                  <w:r>
                    <w:rPr>
                      <w:rFonts w:ascii="標楷體" w:hAnsi="標楷體"/>
                      <w:sz w:val="24"/>
                    </w:rPr>
                    <w:t>額者，得由本院所屬中央各主管機關授權所屬機關逕行核處。</w:t>
                  </w:r>
                  <w:r>
                    <w:rPr>
                      <w:rFonts w:ascii="標楷體" w:hAnsi="標楷體"/>
                      <w:sz w:val="24"/>
                    </w:rPr>
                    <w:t xml:space="preserve"> 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spacing w:before="36" w:after="36" w:line="400" w:lineRule="exact"/>
                    <w:ind w:left="283" w:right="12" w:hanging="278"/>
                    <w:jc w:val="both"/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lastRenderedPageBreak/>
                    <w:t>1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工作內容部分：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工作內容調整後，如已影響原職務之職責程度輕重，須相對調整其報酬薪點時，仍須報經本院核定。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83" w:right="12" w:hanging="278"/>
                    <w:jc w:val="both"/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資格條件部分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：資格條件修正後，如涉及報酬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lastRenderedPageBreak/>
                    <w:t>薪點之變動者，仍應報經本院核定。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69" w:right="12" w:hanging="264"/>
                    <w:jc w:val="both"/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t>3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、除依本院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年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12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月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24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日台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人政肆字第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53044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號函規定，服務於山僻、離島之聘僱人員，授權由各部會行處局署院、省政府、省諮議會、縣市政府、縣市議會在同一服務地區編制內公教員工「地域加給」之基本標準金額範圍內，衡酌實際狀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況，酌予提高其酬金薪點折合率標準，不受本院訂頒通案薪點折合率最高標準之限制等情形外，如</w:t>
                  </w:r>
                  <w:r>
                    <w:rPr>
                      <w:rFonts w:ascii="標楷體" w:hAnsi="標楷體"/>
                      <w:sz w:val="24"/>
                    </w:rPr>
                    <w:t>以超過本院規定通案標準之薪點折合率調整原聘（僱）用計畫書（表）所列「折合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金額」者，仍需報經本院核定。</w:t>
                  </w:r>
                </w:p>
              </w:tc>
            </w:tr>
          </w:tbl>
          <w:p w:rsidR="00C32654" w:rsidRDefault="00C32654">
            <w:pPr>
              <w:tabs>
                <w:tab w:val="left" w:pos="3550"/>
              </w:tabs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numPr>
                <w:ilvl w:val="0"/>
                <w:numId w:val="1"/>
              </w:numPr>
              <w:spacing w:line="400" w:lineRule="exact"/>
              <w:ind w:left="510" w:right="-26" w:hanging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修正第三點部分：</w:t>
            </w:r>
          </w:p>
          <w:p w:rsidR="00C32654" w:rsidRDefault="00C47F98">
            <w:pPr>
              <w:numPr>
                <w:ilvl w:val="0"/>
                <w:numId w:val="2"/>
              </w:numPr>
              <w:spacing w:line="400" w:lineRule="exact"/>
              <w:ind w:left="874" w:right="-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增列配合本院授權主管機關自行減列聘僱員額，而相對減列原聘（僱）用計畫書（表）人數之授權規定：因機關聘僱員額除依本院核定減列者外，亦有經本院授權機關本權責自行減列者，例如本院</w:t>
            </w:r>
            <w:r>
              <w:rPr>
                <w:rFonts w:ascii="標楷體" w:eastAsia="標楷體" w:hAnsi="標楷體"/>
              </w:rPr>
              <w:t>96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日院授人力字第</w:t>
            </w:r>
            <w:r>
              <w:rPr>
                <w:rFonts w:ascii="標楷體" w:eastAsia="標楷體" w:hAnsi="標楷體"/>
              </w:rPr>
              <w:t>0960061591</w:t>
            </w:r>
            <w:r>
              <w:rPr>
                <w:rFonts w:ascii="標楷體" w:eastAsia="標楷體" w:hAnsi="標楷體"/>
              </w:rPr>
              <w:t>號函以，行政法人優先推動個案之機關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，原經本院核定減列職員改進用之聘僱員額，擬回復進用職員者，在機關職聘僱人力總數不變之前提下，增減職聘僱員額時，同意由各該主管機關本於權責自行核定並副知</w:t>
            </w:r>
            <w:r>
              <w:rPr>
                <w:rFonts w:ascii="標楷體" w:eastAsia="標楷體" w:hAnsi="標楷體"/>
              </w:rPr>
              <w:lastRenderedPageBreak/>
              <w:t>本院人事行政局；第三點爰增列配合該等員額調整相應修正聘（僱）用計畫書（表）所列之聘僱人數者得授權核處之</w:t>
            </w:r>
            <w:r>
              <w:rPr>
                <w:rFonts w:ascii="標楷體" w:eastAsia="標楷體" w:hAnsi="標楷體"/>
              </w:rPr>
              <w:t>規定。</w:t>
            </w:r>
          </w:p>
          <w:p w:rsidR="00C32654" w:rsidRDefault="00C47F98">
            <w:pPr>
              <w:numPr>
                <w:ilvl w:val="0"/>
                <w:numId w:val="2"/>
              </w:numPr>
              <w:spacing w:line="400" w:lineRule="exact"/>
              <w:ind w:left="860" w:right="-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刪除副知銓敍部規定：按聘用計畫書係作為銓敍部辦理聘用登記備查案件查考之用，因</w:t>
            </w: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年起聘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用計畫書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報送作業已改為線上辦理，並介接整合銓敍部聘用人員名冊備查作業，是銓敍部於辦理登記備查作業時，已得透過線上系統查詢相關案件，茲為簡化作業流程，爰刪除調整聘用計畫書人數副知銓敍部之規定。</w:t>
            </w:r>
          </w:p>
          <w:p w:rsidR="00C32654" w:rsidRDefault="00C47F98">
            <w:pPr>
              <w:numPr>
                <w:ilvl w:val="0"/>
                <w:numId w:val="1"/>
              </w:numPr>
              <w:spacing w:line="400" w:lineRule="exact"/>
              <w:ind w:left="510" w:right="-26" w:hanging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第四點調整折合金額授權情形：本點係依本院待遇調整作業酌修文字；另因各機關調整薪點折合率如超過本院規定之通案標準，應先報送本院核定，爰嗣後依此核定結果相對調整原聘（僱）用計畫書（表）時，得無須再報送本院核定，並</w:t>
            </w:r>
            <w:r>
              <w:rPr>
                <w:rFonts w:ascii="標楷體" w:eastAsia="標楷體" w:hAnsi="標楷體"/>
              </w:rPr>
              <w:t>由本院所屬中央各主管機關授權所屬機關逕行核處。</w:t>
            </w:r>
          </w:p>
          <w:p w:rsidR="00C32654" w:rsidRDefault="00C47F98">
            <w:pPr>
              <w:numPr>
                <w:ilvl w:val="0"/>
                <w:numId w:val="1"/>
              </w:numPr>
              <w:spacing w:line="400" w:lineRule="exact"/>
              <w:ind w:left="510" w:right="-26" w:hanging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增訂第五點部分：因機關修正聘僱人員之經費來源及科目係本於權責自行辦理，爰增列該等情形授權核處之規定。</w:t>
            </w:r>
          </w:p>
          <w:p w:rsidR="00C32654" w:rsidRDefault="00C47F98">
            <w:pPr>
              <w:numPr>
                <w:ilvl w:val="0"/>
                <w:numId w:val="1"/>
              </w:numPr>
              <w:spacing w:line="400" w:lineRule="exact"/>
              <w:ind w:left="510" w:right="-26" w:hanging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增訂第六點部分：經本院核定列管之現職人員，嗣後依出缺情形修正或刪除聘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用計畫書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備註規定，以其係配合事實調整，為擴大授權，爰參照聘僱人數減列相對修正聘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用計畫書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人數之授權情形，增訂第六點規定。惟該等人員出缺後，如有應重行檢討職稱、職責程度、薪點範圍等情事，仍需報經本院核定。</w:t>
            </w:r>
          </w:p>
          <w:p w:rsidR="00C32654" w:rsidRDefault="00C32654">
            <w:pPr>
              <w:spacing w:line="400" w:lineRule="exact"/>
              <w:ind w:left="510" w:right="-26"/>
              <w:jc w:val="both"/>
              <w:rPr>
                <w:rFonts w:ascii="標楷體" w:eastAsia="標楷體" w:hAnsi="標楷體"/>
              </w:rPr>
            </w:pP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32654">
            <w:pPr>
              <w:tabs>
                <w:tab w:val="left" w:pos="3550"/>
              </w:tabs>
            </w:pPr>
          </w:p>
          <w:tbl>
            <w:tblPr>
              <w:tblW w:w="68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436"/>
              <w:gridCol w:w="1984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變更機關名稱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40" w:hanging="240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凡原聘僱人員隨同業務移撥他機關，或原機關進行組織調整等，涉及聘僱機關名稱</w:t>
                  </w:r>
                  <w:r>
                    <w:rPr>
                      <w:rFonts w:ascii="標楷體" w:hAnsi="標楷體"/>
                      <w:color w:val="FF0000"/>
                      <w:spacing w:val="-4"/>
                      <w:sz w:val="24"/>
                      <w:u w:val="single"/>
                    </w:rPr>
                    <w:t>或機關代碼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變更，而聘（僱）用計畫書（表）原核定內容未予調整者，授權本院所屬中央各主管機關逕行核處，並副知本院人事行政總處。但中央各主管機關不得再授權所屬機關逕行核定此類聘僱計畫。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53" w:hanging="253"/>
                    <w:jc w:val="both"/>
                  </w:pPr>
                  <w:r>
                    <w:rPr>
                      <w:rFonts w:ascii="標楷體" w:hAnsi="標楷體"/>
                      <w:spacing w:val="-4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、合併數機關預算員額並採單筆方式編列者，該數機關間聘僱預算員額調整，而相對變更聘用（僱）計畫書（表）之聘僱機關名稱</w:t>
                  </w:r>
                  <w:r>
                    <w:rPr>
                      <w:rFonts w:ascii="標楷體" w:hAnsi="標楷體"/>
                      <w:color w:val="FF0000"/>
                      <w:spacing w:val="-4"/>
                      <w:sz w:val="24"/>
                      <w:u w:val="single"/>
                    </w:rPr>
                    <w:t>或機關代碼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，且聘（僱）用計畫書（表）原核定內容除配合員額調整相對修正聘僱人數外其餘均未予調整者，得由本院所屬中央各主管機關授權所屬機關逕行核處，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並副知本院所屬中央各主管機關。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32654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right="-26"/>
                    <w:jc w:val="both"/>
                    <w:rPr>
                      <w:rFonts w:ascii="標楷體" w:hAnsi="標楷體"/>
                      <w:color w:val="7030A0"/>
                      <w:sz w:val="24"/>
                    </w:rPr>
                  </w:pPr>
                </w:p>
              </w:tc>
            </w:tr>
          </w:tbl>
          <w:p w:rsidR="00C32654" w:rsidRDefault="00C32654">
            <w:pPr>
              <w:tabs>
                <w:tab w:val="left" w:pos="3550"/>
              </w:tabs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32654">
            <w:pPr>
              <w:tabs>
                <w:tab w:val="left" w:pos="3550"/>
              </w:tabs>
            </w:pPr>
          </w:p>
          <w:tbl>
            <w:tblPr>
              <w:tblW w:w="68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436"/>
              <w:gridCol w:w="1984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變更機關名稱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40" w:hanging="240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凡原聘僱人員隨同業務移撥他機關，或原機關進行組織調整等，涉及聘僱機關名稱變更，而聘（僱）用計畫書（表）原核定內容未予調整者，授權本院所屬中央各主管機關逕行核處，並副知本院人事行政總處。但中央各主管機關不得再授權所屬機關逕行核定此類聘僱計畫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53" w:hanging="253"/>
                    <w:jc w:val="both"/>
                    <w:rPr>
                      <w:rFonts w:ascii="標楷體" w:hAnsi="標楷體"/>
                      <w:spacing w:val="-4"/>
                      <w:sz w:val="24"/>
                    </w:rPr>
                  </w:pPr>
                  <w:r>
                    <w:rPr>
                      <w:rFonts w:ascii="標楷體" w:hAnsi="標楷體"/>
                      <w:spacing w:val="-4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pacing w:val="-4"/>
                      <w:sz w:val="24"/>
                    </w:rPr>
                    <w:t>、合併數機關預算員額並採單筆方式編列者，該數機關間聘僱預算員額調整，而相對變更聘用（僱）計畫書（表）之聘僱機關名稱，且聘（僱）用計畫書（表）原核定內容除配合員額調整相對修正聘僱人數外其餘均未予調整者，得由本院所屬中央各主管機關授權所屬機關逕行核處，並副知本院所屬中央各主管機關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32654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right="-26"/>
                    <w:jc w:val="both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</w:tr>
          </w:tbl>
          <w:p w:rsidR="00C32654" w:rsidRDefault="00C32654">
            <w:pPr>
              <w:tabs>
                <w:tab w:val="left" w:pos="3550"/>
              </w:tabs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依原行政院人事行政局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日局資字第</w:t>
            </w:r>
            <w:r>
              <w:rPr>
                <w:rFonts w:ascii="標楷體" w:eastAsia="標楷體" w:hAnsi="標楷體"/>
              </w:rPr>
              <w:t>1000034038</w:t>
            </w:r>
            <w:r>
              <w:rPr>
                <w:rFonts w:ascii="標楷體" w:eastAsia="標楷體" w:hAnsi="標楷體"/>
              </w:rPr>
              <w:t>號函略以，本院組織調整後之各部會所屬機關代碼，應依相關規定至本院人事行政總處人事服務網</w:t>
            </w:r>
            <w:r>
              <w:rPr>
                <w:rFonts w:ascii="標楷體" w:eastAsia="標楷體" w:hAnsi="標楷體"/>
              </w:rPr>
              <w:t>(ecpa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重新申請機關代碼，並於</w:t>
            </w:r>
            <w:r>
              <w:rPr>
                <w:rFonts w:ascii="標楷體" w:eastAsia="標楷體" w:hAnsi="標楷體"/>
              </w:rPr>
              <w:t>WebHR</w:t>
            </w:r>
            <w:r>
              <w:rPr>
                <w:rFonts w:ascii="標楷體" w:eastAsia="標楷體" w:hAnsi="標楷體"/>
              </w:rPr>
              <w:t>人力資源管理資訊系統重新建置聘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用計畫書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，爰增訂原機關進行組織調整，僅機關代碼變更，聘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用計畫書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其餘內容均未予調整者之授權規定。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7793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lastRenderedPageBreak/>
              <w:t>（二）地方機關部分（含各直轄市政府、縣（市）政府、各直轄市議會、縣（市）議會）：</w:t>
            </w:r>
          </w:p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6"/>
              <w:gridCol w:w="2507"/>
              <w:gridCol w:w="3500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color w:val="000000"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簡化項目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簡化後做法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color w:val="000000"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備註</w:t>
                  </w:r>
                </w:p>
              </w:tc>
            </w:tr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新訂或修正聘（僱）用計畫書（表）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15"/>
                    </w:tabs>
                    <w:spacing w:before="36" w:after="36" w:line="400" w:lineRule="exact"/>
                    <w:ind w:left="360" w:right="72" w:hanging="360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、各機關新訂或修正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，報由各直轄市政府、縣（市）政府、各直轄市議會、縣（市）議會核准。又各直轄市政府、縣（市）政府得視實際業務需要，授權鄉鎮市公所及所屬機關逕行核定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，惟仍應副知各直轄市政府、縣（市）政府。</w:t>
                  </w:r>
                </w:p>
                <w:p w:rsidR="00C32654" w:rsidRDefault="00C47F98">
                  <w:pPr>
                    <w:pStyle w:val="a7"/>
                    <w:tabs>
                      <w:tab w:val="left" w:pos="315"/>
                    </w:tabs>
                    <w:spacing w:before="36" w:after="36" w:line="400" w:lineRule="exact"/>
                    <w:ind w:left="360" w:right="72" w:hanging="360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折合金</w:t>
                  </w:r>
                  <w:r>
                    <w:rPr>
                      <w:rFonts w:ascii="標楷體" w:hAnsi="標楷體"/>
                      <w:sz w:val="24"/>
                    </w:rPr>
                    <w:t>額</w:t>
                  </w:r>
                  <w:r>
                    <w:rPr>
                      <w:rFonts w:ascii="新細明體" w:eastAsia="新細明體" w:hAnsi="新細明體"/>
                      <w:sz w:val="24"/>
                    </w:rPr>
                    <w:t>：</w:t>
                  </w:r>
                  <w:r>
                    <w:rPr>
                      <w:rFonts w:ascii="標楷體" w:hAnsi="標楷體"/>
                      <w:color w:val="FF0000"/>
                      <w:sz w:val="24"/>
                      <w:u w:val="single"/>
                    </w:rPr>
                    <w:t>配合年度軍公教員工待遇調整或依報經本院專案核定之酬金</w:t>
                  </w:r>
                  <w:r>
                    <w:rPr>
                      <w:rFonts w:ascii="標楷體" w:hAnsi="標楷體"/>
                      <w:sz w:val="24"/>
                    </w:rPr>
                    <w:t>薪點折合率，相對調整原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聘（僱）用計畫書（表）所列月酬標準之折合金</w:t>
                  </w:r>
                  <w:r>
                    <w:rPr>
                      <w:rFonts w:ascii="標楷體" w:hAnsi="標楷體"/>
                      <w:sz w:val="24"/>
                    </w:rPr>
                    <w:t>額者，得由各直轄市政府、縣（市）政府授權所屬機關逕行核處。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3190"/>
                    </w:tabs>
                    <w:spacing w:before="36" w:after="36" w:line="400" w:lineRule="exact"/>
                    <w:ind w:right="14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除依本院</w:t>
                  </w:r>
                  <w:r>
                    <w:rPr>
                      <w:rFonts w:ascii="標楷體" w:hAnsi="標楷體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sz w:val="24"/>
                    </w:rPr>
                    <w:t>年</w:t>
                  </w:r>
                  <w:r>
                    <w:rPr>
                      <w:rFonts w:ascii="標楷體" w:hAnsi="標楷體"/>
                      <w:sz w:val="24"/>
                    </w:rPr>
                    <w:t>12</w:t>
                  </w:r>
                  <w:r>
                    <w:rPr>
                      <w:rFonts w:ascii="標楷體" w:hAnsi="標楷體"/>
                      <w:sz w:val="24"/>
                    </w:rPr>
                    <w:t>月</w:t>
                  </w:r>
                  <w:r>
                    <w:rPr>
                      <w:rFonts w:ascii="標楷體" w:hAnsi="標楷體"/>
                      <w:sz w:val="24"/>
                    </w:rPr>
                    <w:t>24</w:t>
                  </w:r>
                  <w:r>
                    <w:rPr>
                      <w:rFonts w:ascii="標楷體" w:hAnsi="標楷體"/>
                      <w:sz w:val="24"/>
                    </w:rPr>
                    <w:t>日台</w:t>
                  </w:r>
                  <w:r>
                    <w:rPr>
                      <w:rFonts w:ascii="標楷體" w:hAnsi="標楷體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sz w:val="24"/>
                    </w:rPr>
                    <w:t>人政肆字第</w:t>
                  </w:r>
                  <w:r>
                    <w:rPr>
                      <w:rFonts w:ascii="標楷體" w:hAnsi="標楷體"/>
                      <w:sz w:val="24"/>
                    </w:rPr>
                    <w:t>53044</w:t>
                  </w:r>
                  <w:r>
                    <w:rPr>
                      <w:rFonts w:ascii="標楷體" w:hAnsi="標楷體"/>
                      <w:sz w:val="24"/>
                    </w:rPr>
                    <w:t>號函規定，服務於山僻、離島之聘僱人員，授權由主管機關（各部會行</w:t>
                  </w:r>
                  <w:r>
                    <w:rPr>
                      <w:rFonts w:ascii="標楷體" w:hAnsi="標楷體"/>
                      <w:sz w:val="24"/>
                    </w:rPr>
                    <w:t>處局署院、省政府、省諮議會、縣市政府、縣市議會）在同一服務地區編制內公教員工「地域加給」之基本標準金額範圍內，衡酌實際狀況，酌予提高其酬金薪點折合率標準，不受本院訂頒通案薪點折合率最高標準之限制等情形外，如以超過本院規定通案標準之薪點折合率調整原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所列「折合金額」者，仍需報經本院核定。</w:t>
                  </w:r>
                </w:p>
                <w:p w:rsidR="00C32654" w:rsidRDefault="00C47F98">
                  <w:pPr>
                    <w:pStyle w:val="a7"/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3190"/>
                    </w:tabs>
                    <w:spacing w:before="36" w:after="36" w:line="400" w:lineRule="exact"/>
                    <w:ind w:right="14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凡原聘僱人員隨同業務移撥他機關，或原機關進行組織調整等，涉及聘僱機關名稱</w:t>
                  </w:r>
                  <w:r>
                    <w:rPr>
                      <w:rFonts w:ascii="標楷體" w:hAnsi="標楷體"/>
                      <w:color w:val="FF0000"/>
                      <w:spacing w:val="-4"/>
                      <w:sz w:val="24"/>
                      <w:u w:val="single"/>
                    </w:rPr>
                    <w:t>或機關代碼</w:t>
                  </w:r>
                  <w:r>
                    <w:rPr>
                      <w:rFonts w:ascii="標楷體" w:hAnsi="標楷體"/>
                      <w:sz w:val="24"/>
                    </w:rPr>
                    <w:t>變更，而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原核定內容未予調整者，各主管機關不得再授權所屬機關逕行核定此類聘僱計畫。</w:t>
                  </w:r>
                </w:p>
              </w:tc>
            </w:tr>
          </w:tbl>
          <w:p w:rsidR="00C32654" w:rsidRDefault="00C32654">
            <w:pPr>
              <w:pStyle w:val="a7"/>
              <w:tabs>
                <w:tab w:val="left" w:pos="900"/>
                <w:tab w:val="left" w:pos="3550"/>
              </w:tabs>
              <w:spacing w:before="36" w:after="36" w:line="400" w:lineRule="exact"/>
              <w:ind w:left="721" w:hanging="721"/>
              <w:jc w:val="both"/>
              <w:rPr>
                <w:rFonts w:ascii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（二）地方機關部分（含各直轄市政府、縣（市）政府、各直轄市議會、縣（市）議會）：</w:t>
            </w:r>
          </w:p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3604"/>
              <w:gridCol w:w="2126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color w:val="000000"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簡化項目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簡化後做法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color w:val="000000"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color w:val="000000"/>
                      <w:sz w:val="24"/>
                    </w:rPr>
                    <w:t>備註</w:t>
                  </w:r>
                </w:p>
              </w:tc>
            </w:tr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2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新訂或修正聘（僱）用計畫書（表）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15"/>
                    </w:tabs>
                    <w:spacing w:before="36" w:after="36" w:line="400" w:lineRule="exact"/>
                    <w:ind w:left="360" w:right="72" w:hanging="360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、各機關新訂或修正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，報由各直轄市政府、縣（市）政府、各直轄市議會、縣（市）議會核准。又各直轄市政府、縣（市）政府得視實際業務需要，授權鄉鎮市公所及所屬機關逕行核定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，惟仍應副知各直轄市政府、縣（市）政府。</w:t>
                  </w:r>
                </w:p>
                <w:p w:rsidR="00C32654" w:rsidRDefault="00C47F98">
                  <w:pPr>
                    <w:pStyle w:val="a7"/>
                    <w:tabs>
                      <w:tab w:val="left" w:pos="315"/>
                    </w:tabs>
                    <w:spacing w:before="36" w:after="36" w:line="400" w:lineRule="exact"/>
                    <w:ind w:left="360" w:right="72" w:hanging="360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z w:val="24"/>
                    </w:rPr>
                    <w:t>、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折合金</w:t>
                  </w:r>
                  <w:r>
                    <w:rPr>
                      <w:rFonts w:ascii="標楷體" w:hAnsi="標楷體"/>
                      <w:sz w:val="24"/>
                    </w:rPr>
                    <w:t>額</w:t>
                  </w:r>
                  <w:r>
                    <w:rPr>
                      <w:rFonts w:ascii="新細明體" w:eastAsia="新細明體" w:hAnsi="新細明體"/>
                      <w:sz w:val="24"/>
                    </w:rPr>
                    <w:t>：</w:t>
                  </w:r>
                  <w:r>
                    <w:rPr>
                      <w:rFonts w:ascii="標楷體" w:hAnsi="標楷體"/>
                      <w:sz w:val="24"/>
                    </w:rPr>
                    <w:t>年度中因本院通案調整薪點折合率，相對調整原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聘（僱）用計畫書（表）所列月酬標準之折合金</w:t>
                  </w:r>
                  <w:r>
                    <w:rPr>
                      <w:rFonts w:ascii="標楷體" w:hAnsi="標楷體"/>
                      <w:sz w:val="24"/>
                    </w:rPr>
                    <w:t>額者，得由各直轄市政府、縣（市）政府授權所屬機關逕行核處。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372" w:hanging="372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1</w:t>
                  </w:r>
                  <w:r>
                    <w:rPr>
                      <w:rFonts w:ascii="標楷體" w:hAnsi="標楷體"/>
                      <w:sz w:val="24"/>
                    </w:rPr>
                    <w:t>、除依本院</w:t>
                  </w:r>
                  <w:r>
                    <w:rPr>
                      <w:rFonts w:ascii="標楷體" w:hAnsi="標楷體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sz w:val="24"/>
                    </w:rPr>
                    <w:t>年</w:t>
                  </w:r>
                  <w:r>
                    <w:rPr>
                      <w:rFonts w:ascii="標楷體" w:hAnsi="標楷體"/>
                      <w:sz w:val="24"/>
                    </w:rPr>
                    <w:t>12</w:t>
                  </w:r>
                  <w:r>
                    <w:rPr>
                      <w:rFonts w:ascii="標楷體" w:hAnsi="標楷體"/>
                      <w:sz w:val="24"/>
                    </w:rPr>
                    <w:t>月</w:t>
                  </w:r>
                  <w:r>
                    <w:rPr>
                      <w:rFonts w:ascii="標楷體" w:hAnsi="標楷體"/>
                      <w:sz w:val="24"/>
                    </w:rPr>
                    <w:t>24</w:t>
                  </w:r>
                  <w:r>
                    <w:rPr>
                      <w:rFonts w:ascii="標楷體" w:hAnsi="標楷體"/>
                      <w:sz w:val="24"/>
                    </w:rPr>
                    <w:t>日台</w:t>
                  </w:r>
                  <w:r>
                    <w:rPr>
                      <w:rFonts w:ascii="標楷體" w:hAnsi="標楷體"/>
                      <w:sz w:val="24"/>
                    </w:rPr>
                    <w:t>79</w:t>
                  </w:r>
                  <w:r>
                    <w:rPr>
                      <w:rFonts w:ascii="標楷體" w:hAnsi="標楷體"/>
                      <w:sz w:val="24"/>
                    </w:rPr>
                    <w:t>人政肆字第</w:t>
                  </w:r>
                  <w:r>
                    <w:rPr>
                      <w:rFonts w:ascii="標楷體" w:hAnsi="標楷體"/>
                      <w:sz w:val="24"/>
                    </w:rPr>
                    <w:t>53044</w:t>
                  </w:r>
                  <w:r>
                    <w:rPr>
                      <w:rFonts w:ascii="標楷體" w:hAnsi="標楷體"/>
                      <w:sz w:val="24"/>
                    </w:rPr>
                    <w:t>號函規定，服務於山僻、離島之聘僱人員，授權由主管機關（各部會行處局署院、省政府、省諮議會、縣市政府、縣市議會）在同一服務地區編制內公教員工「地域加給」之基本標準金額範圍內，衡酌實際狀況，酌予提高其酬金薪點折合率標準，不受本院訂頒通案薪點折合率最高標準之限制等情形外，如以超過本院規定通案標準之薪點折合率調整原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所列「折合金額」者，仍需報經本</w:t>
                  </w:r>
                  <w:r>
                    <w:rPr>
                      <w:rFonts w:ascii="標楷體" w:hAnsi="標楷體"/>
                      <w:sz w:val="24"/>
                    </w:rPr>
                    <w:lastRenderedPageBreak/>
                    <w:t>院核定。</w:t>
                  </w:r>
                </w:p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372" w:hanging="372"/>
                    <w:jc w:val="both"/>
                  </w:pPr>
                  <w:r>
                    <w:rPr>
                      <w:rFonts w:ascii="標楷體" w:hAnsi="標楷體"/>
                      <w:sz w:val="24"/>
                    </w:rPr>
                    <w:t>2</w:t>
                  </w:r>
                  <w:r>
                    <w:rPr>
                      <w:rFonts w:ascii="標楷體" w:hAnsi="標楷體"/>
                      <w:sz w:val="24"/>
                    </w:rPr>
                    <w:t>、凡原聘僱人員隨同業務移</w:t>
                  </w:r>
                  <w:r>
                    <w:rPr>
                      <w:rFonts w:ascii="標楷體" w:hAnsi="標楷體"/>
                      <w:sz w:val="24"/>
                    </w:rPr>
                    <w:t>撥他機關，或原機關進行組織調整等，涉及聘僱機關名稱變更，而</w:t>
                  </w: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  <w:r>
                    <w:rPr>
                      <w:rFonts w:ascii="標楷體" w:hAnsi="標楷體"/>
                      <w:sz w:val="24"/>
                    </w:rPr>
                    <w:t>原核定內容未予調整者，各主管機關不得再授權所屬機關逕行核定此類聘僱計畫。</w:t>
                  </w:r>
                </w:p>
              </w:tc>
            </w:tr>
          </w:tbl>
          <w:p w:rsidR="00C32654" w:rsidRDefault="00C32654">
            <w:pPr>
              <w:pStyle w:val="a7"/>
              <w:tabs>
                <w:tab w:val="left" w:pos="900"/>
                <w:tab w:val="left" w:pos="3550"/>
              </w:tabs>
              <w:spacing w:before="36" w:after="36" w:line="400" w:lineRule="exact"/>
              <w:ind w:left="721" w:hanging="721"/>
              <w:jc w:val="both"/>
              <w:rPr>
                <w:rFonts w:ascii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jc w:val="both"/>
            </w:pPr>
            <w:r>
              <w:rPr>
                <w:rFonts w:ascii="標楷體" w:hAnsi="標楷體"/>
                <w:bCs/>
                <w:sz w:val="24"/>
              </w:rPr>
              <w:lastRenderedPageBreak/>
              <w:t>修正第二點折合金額及備註二有關機關代碼變更，理由同前述。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900"/>
                <w:tab w:val="left" w:pos="3550"/>
              </w:tabs>
              <w:spacing w:before="36" w:after="36" w:line="400" w:lineRule="exact"/>
              <w:jc w:val="both"/>
              <w:rPr>
                <w:rFonts w:ascii="標楷體" w:hAnsi="標楷體"/>
                <w:bCs/>
                <w:sz w:val="24"/>
              </w:rPr>
            </w:pPr>
            <w:r>
              <w:rPr>
                <w:rFonts w:ascii="標楷體" w:hAnsi="標楷體"/>
                <w:bCs/>
                <w:sz w:val="24"/>
              </w:rPr>
              <w:t>二、聘（僱）用名冊：</w:t>
            </w:r>
          </w:p>
          <w:p w:rsidR="00C32654" w:rsidRDefault="00C47F98">
            <w:pPr>
              <w:pStyle w:val="a7"/>
              <w:tabs>
                <w:tab w:val="left" w:pos="900"/>
                <w:tab w:val="left" w:pos="3550"/>
              </w:tabs>
              <w:spacing w:before="36" w:after="36" w:line="400" w:lineRule="exact"/>
              <w:ind w:firstLine="480"/>
              <w:jc w:val="both"/>
            </w:pPr>
            <w:r>
              <w:rPr>
                <w:rFonts w:ascii="標楷體" w:hAnsi="標楷體"/>
                <w:sz w:val="24"/>
              </w:rPr>
              <w:t>各機關聘（僱）用名冊，得由本院所屬中央主管機關、各直轄市政府、縣（市）政府、各直轄市議會、縣（市）議會視實際業務需要，授權所屬機關逕行核處，惟其中聘用名冊仍須依規定送銓敍部登記備查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900"/>
                <w:tab w:val="left" w:pos="3550"/>
              </w:tabs>
              <w:spacing w:before="36" w:after="36" w:line="400" w:lineRule="exact"/>
              <w:jc w:val="both"/>
              <w:rPr>
                <w:rFonts w:ascii="標楷體" w:hAnsi="標楷體"/>
                <w:bCs/>
                <w:sz w:val="24"/>
              </w:rPr>
            </w:pPr>
            <w:r>
              <w:rPr>
                <w:rFonts w:ascii="標楷體" w:hAnsi="標楷體"/>
                <w:bCs/>
                <w:sz w:val="24"/>
              </w:rPr>
              <w:t>二、聘（僱）用名冊：</w:t>
            </w:r>
          </w:p>
          <w:p w:rsidR="00C32654" w:rsidRDefault="00C47F98">
            <w:pPr>
              <w:pStyle w:val="a7"/>
              <w:tabs>
                <w:tab w:val="left" w:pos="900"/>
                <w:tab w:val="left" w:pos="3550"/>
              </w:tabs>
              <w:spacing w:before="36" w:after="36" w:line="400" w:lineRule="exact"/>
              <w:ind w:firstLine="480"/>
              <w:jc w:val="both"/>
            </w:pPr>
            <w:r>
              <w:rPr>
                <w:rFonts w:ascii="標楷體" w:hAnsi="標楷體"/>
                <w:sz w:val="24"/>
              </w:rPr>
              <w:t>各機關聘（僱）用名冊，得由本院所屬中央主管機關、各直轄市政府、縣（市）政府、各直轄市議會、縣（市）議會視實際業務需要，授權所屬機關逕行核處，惟其中聘用名冊仍須依規定送銓敍部登記備查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未修正。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6092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ind w:left="480" w:hanging="480"/>
              <w:jc w:val="both"/>
            </w:pPr>
            <w:r>
              <w:rPr>
                <w:rFonts w:ascii="標楷體" w:hAnsi="標楷體"/>
                <w:bCs/>
                <w:sz w:val="24"/>
              </w:rPr>
              <w:lastRenderedPageBreak/>
              <w:t>貳、依「各機關職務代理應行注意事項」或「公務人員留職停薪辦法」等規定，於奉准保留職員職缺，或於考試及格人員遞補前所進用之聘僱人員，以及聘僱人員留職停薪</w:t>
            </w:r>
            <w:r>
              <w:rPr>
                <w:rFonts w:ascii="標楷體" w:hAnsi="標楷體"/>
                <w:bCs/>
                <w:color w:val="FF0000"/>
                <w:sz w:val="24"/>
                <w:u w:val="single"/>
              </w:rPr>
              <w:t>，或請產前假、娩假、流產假及因安胎事由請假等</w:t>
            </w:r>
            <w:r>
              <w:rPr>
                <w:rFonts w:ascii="標楷體" w:hAnsi="標楷體"/>
                <w:bCs/>
                <w:sz w:val="24"/>
              </w:rPr>
              <w:t>期間，依相關聘僱法規進用之聘僱人員：</w:t>
            </w:r>
          </w:p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jc w:val="both"/>
            </w:pPr>
            <w:r>
              <w:rPr>
                <w:rFonts w:ascii="標楷體" w:hAnsi="標楷體"/>
                <w:bCs/>
                <w:sz w:val="24"/>
              </w:rPr>
              <w:t>一</w:t>
            </w:r>
            <w:r>
              <w:rPr>
                <w:rFonts w:ascii="新細明體" w:eastAsia="新細明體" w:hAnsi="新細明體"/>
                <w:bCs/>
                <w:sz w:val="24"/>
              </w:rPr>
              <w:t>、</w:t>
            </w:r>
            <w:r>
              <w:rPr>
                <w:rFonts w:ascii="標楷體" w:hAnsi="標楷體"/>
                <w:bCs/>
                <w:sz w:val="24"/>
              </w:rPr>
              <w:t>聘（僱）用計畫書（表）</w:t>
            </w:r>
          </w:p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10"/>
              <w:gridCol w:w="3647"/>
              <w:gridCol w:w="2126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簡化項目</w:t>
                  </w:r>
                </w:p>
              </w:tc>
              <w:tc>
                <w:tcPr>
                  <w:tcW w:w="3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簡化後做法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備註</w:t>
                  </w:r>
                </w:p>
              </w:tc>
            </w:tr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1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</w:p>
              </w:tc>
              <w:tc>
                <w:tcPr>
                  <w:tcW w:w="3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8"/>
                    </w:tabs>
                    <w:spacing w:before="36" w:after="36" w:line="400" w:lineRule="exact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是類聘（僱）用計畫書（表）所列薪點折合率在本院所訂通案標準範圍內者，本院所屬中央各主管機關、各直轄市政府、縣（市）政府、各直轄市議會、縣（市）議會得視實際業務需要，授權所屬用人機關逕行核定，毋須副知本院人事行政總處及本院主計總處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聘（僱）用計畫書（表）所列薪點折合率超過本院所訂通案標準者，仍應報本院核定。</w:t>
                  </w:r>
                </w:p>
              </w:tc>
            </w:tr>
          </w:tbl>
          <w:p w:rsidR="00C32654" w:rsidRDefault="00C32654">
            <w:pPr>
              <w:pStyle w:val="a7"/>
              <w:tabs>
                <w:tab w:val="left" w:pos="3550"/>
              </w:tabs>
              <w:spacing w:before="36" w:after="36" w:line="400" w:lineRule="exact"/>
              <w:ind w:left="480" w:hanging="480"/>
              <w:jc w:val="both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ind w:left="480" w:hanging="480"/>
              <w:jc w:val="both"/>
            </w:pPr>
            <w:r>
              <w:rPr>
                <w:rFonts w:ascii="標楷體" w:hAnsi="標楷體"/>
                <w:bCs/>
                <w:sz w:val="24"/>
              </w:rPr>
              <w:t>貳、依「各機關職務代理應行注意事項」或「公務人員留職停薪辦法」等規定，於奉准保留職員職缺，或於考試及格人員遞補前所進用之聘僱人員，以及聘僱人員</w:t>
            </w:r>
            <w:r>
              <w:rPr>
                <w:rFonts w:ascii="標楷體" w:hAnsi="標楷體"/>
                <w:bCs/>
                <w:color w:val="FF0000"/>
                <w:sz w:val="24"/>
                <w:u w:val="single"/>
              </w:rPr>
              <w:t>育嬰</w:t>
            </w:r>
            <w:r>
              <w:rPr>
                <w:rFonts w:ascii="標楷體" w:hAnsi="標楷體"/>
                <w:bCs/>
                <w:sz w:val="24"/>
              </w:rPr>
              <w:t>留職停薪期間，依相關聘僱法規進用之聘僱人員：</w:t>
            </w:r>
          </w:p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jc w:val="both"/>
            </w:pPr>
            <w:r>
              <w:rPr>
                <w:rFonts w:ascii="標楷體" w:hAnsi="標楷體"/>
                <w:bCs/>
                <w:sz w:val="24"/>
              </w:rPr>
              <w:t>一</w:t>
            </w:r>
            <w:r>
              <w:rPr>
                <w:rFonts w:ascii="新細明體" w:eastAsia="新細明體" w:hAnsi="新細明體"/>
                <w:bCs/>
                <w:sz w:val="24"/>
              </w:rPr>
              <w:t>、</w:t>
            </w:r>
            <w:r>
              <w:rPr>
                <w:rFonts w:ascii="標楷體" w:hAnsi="標楷體"/>
                <w:bCs/>
                <w:sz w:val="24"/>
              </w:rPr>
              <w:t>聘（僱）用計畫書（表）</w:t>
            </w:r>
          </w:p>
          <w:tbl>
            <w:tblPr>
              <w:tblW w:w="70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10"/>
              <w:gridCol w:w="3647"/>
              <w:gridCol w:w="2126"/>
            </w:tblGrid>
            <w:tr w:rsidR="00C32654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簡化項目</w:t>
                  </w:r>
                </w:p>
              </w:tc>
              <w:tc>
                <w:tcPr>
                  <w:tcW w:w="3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簡化後做法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center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備註</w:t>
                  </w:r>
                </w:p>
              </w:tc>
            </w:tr>
            <w:tr w:rsidR="00C326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ind w:left="1"/>
                    <w:jc w:val="both"/>
                    <w:rPr>
                      <w:rFonts w:ascii="標楷體" w:hAnsi="標楷體"/>
                      <w:bCs/>
                      <w:sz w:val="24"/>
                    </w:rPr>
                  </w:pPr>
                  <w:r>
                    <w:rPr>
                      <w:rFonts w:ascii="標楷體" w:hAnsi="標楷體"/>
                      <w:bCs/>
                      <w:sz w:val="24"/>
                    </w:rPr>
                    <w:t>聘（僱）用計畫書（表）</w:t>
                  </w:r>
                </w:p>
              </w:tc>
              <w:tc>
                <w:tcPr>
                  <w:tcW w:w="3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8"/>
                    </w:tabs>
                    <w:spacing w:before="36" w:after="36" w:line="400" w:lineRule="exact"/>
                    <w:ind w:left="19" w:right="14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是類聘（僱）用計畫書（表）所列薪點折合率在本院所訂通案標準範圍內者，本院所屬中央各主管機關、各直轄市政府、縣（市）政府、各直轄市議會、縣（市）議會得視實際業務需要，授權所屬用人機關逕行核定，毋須副知本院人事行政總處及本院主計總處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32654" w:rsidRDefault="00C47F98">
                  <w:pPr>
                    <w:pStyle w:val="a7"/>
                    <w:tabs>
                      <w:tab w:val="left" w:pos="3550"/>
                    </w:tabs>
                    <w:spacing w:before="36" w:after="36" w:line="400" w:lineRule="exact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聘（僱）用計畫書（表）所列薪點折合率超過本院所訂通案標準者，仍應報本院核定。</w:t>
                  </w:r>
                </w:p>
              </w:tc>
            </w:tr>
          </w:tbl>
          <w:p w:rsidR="00C32654" w:rsidRDefault="00C32654">
            <w:pPr>
              <w:pStyle w:val="a7"/>
              <w:tabs>
                <w:tab w:val="left" w:pos="3550"/>
              </w:tabs>
              <w:spacing w:before="36" w:after="36" w:line="400" w:lineRule="exact"/>
              <w:ind w:left="480" w:hanging="480"/>
              <w:jc w:val="both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tabs>
                <w:tab w:val="left" w:pos="40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查銓敍部</w:t>
            </w:r>
            <w:r>
              <w:rPr>
                <w:rFonts w:ascii="標楷體" w:eastAsia="標楷體" w:hAnsi="標楷體"/>
              </w:rPr>
              <w:t>95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日部銓五字第</w:t>
            </w:r>
            <w:r>
              <w:rPr>
                <w:rFonts w:ascii="標楷體" w:eastAsia="標楷體" w:hAnsi="標楷體"/>
              </w:rPr>
              <w:t>0952726525</w:t>
            </w:r>
            <w:r>
              <w:rPr>
                <w:rFonts w:ascii="標楷體" w:eastAsia="標楷體" w:hAnsi="標楷體"/>
              </w:rPr>
              <w:t>號書函、原行政院人事行政局</w:t>
            </w:r>
            <w:r>
              <w:rPr>
                <w:rFonts w:ascii="標楷體" w:eastAsia="標楷體" w:hAnsi="標楷體"/>
              </w:rPr>
              <w:t>96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日局考字第</w:t>
            </w:r>
            <w:r>
              <w:rPr>
                <w:rFonts w:ascii="標楷體" w:eastAsia="標楷體" w:hAnsi="標楷體"/>
              </w:rPr>
              <w:t>0960060170</w:t>
            </w:r>
            <w:r>
              <w:rPr>
                <w:rFonts w:ascii="標楷體" w:eastAsia="標楷體" w:hAnsi="標楷體"/>
              </w:rPr>
              <w:t>號書函以，聘僱人員應徵（召）入伍或補充兵役所遺業務得再進用聘僱人員代理，聘僱人員不限於育嬰留職停薪期間，方得依相關聘僱法規進用之聘僱人員；復查銓敍部</w:t>
            </w:r>
            <w:r>
              <w:rPr>
                <w:rFonts w:ascii="標楷體" w:eastAsia="標楷體" w:hAnsi="標楷體"/>
              </w:rPr>
              <w:t>105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日部銓五字第</w:t>
            </w:r>
            <w:r>
              <w:rPr>
                <w:rFonts w:ascii="標楷體" w:eastAsia="標楷體" w:hAnsi="標楷體"/>
              </w:rPr>
              <w:t>1054085067</w:t>
            </w:r>
            <w:r>
              <w:rPr>
                <w:rFonts w:ascii="標楷體" w:eastAsia="標楷體" w:hAnsi="標楷體"/>
              </w:rPr>
              <w:t>號函、行政院人事行政總處同年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日總處組字第</w:t>
            </w:r>
            <w:r>
              <w:rPr>
                <w:rFonts w:ascii="標楷體" w:eastAsia="標楷體" w:hAnsi="標楷體"/>
              </w:rPr>
              <w:t>1050037587</w:t>
            </w:r>
            <w:r>
              <w:rPr>
                <w:rFonts w:ascii="標楷體" w:eastAsia="標楷體" w:hAnsi="標楷體"/>
              </w:rPr>
              <w:t>號函、銓敍部</w:t>
            </w: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日部銓五字第</w:t>
            </w:r>
            <w:r>
              <w:rPr>
                <w:rFonts w:ascii="標楷體" w:eastAsia="標楷體" w:hAnsi="標楷體"/>
              </w:rPr>
              <w:t>1064198975</w:t>
            </w:r>
            <w:r>
              <w:rPr>
                <w:rFonts w:ascii="標楷體" w:eastAsia="標楷體" w:hAnsi="標楷體"/>
              </w:rPr>
              <w:t>號函、行政院人事行政總處同年月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日總處組字第</w:t>
            </w:r>
            <w:r>
              <w:rPr>
                <w:rFonts w:ascii="標楷體" w:eastAsia="標楷體" w:hAnsi="標楷體"/>
              </w:rPr>
              <w:t>1060040732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函、銓敍部</w:t>
            </w: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/>
              </w:rPr>
              <w:t>日部銓三字第</w:t>
            </w:r>
            <w:r>
              <w:rPr>
                <w:rFonts w:ascii="標楷體" w:eastAsia="標楷體" w:hAnsi="標楷體"/>
              </w:rPr>
              <w:t>1074658388</w:t>
            </w:r>
            <w:r>
              <w:rPr>
                <w:rFonts w:ascii="標楷體" w:eastAsia="標楷體" w:hAnsi="標楷體"/>
              </w:rPr>
              <w:t>號、行政院人事行政總處同年月</w:t>
            </w:r>
            <w:r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/>
              </w:rPr>
              <w:t>日總處組字第</w:t>
            </w:r>
            <w:r>
              <w:rPr>
                <w:rFonts w:ascii="標楷體" w:eastAsia="標楷體" w:hAnsi="標楷體"/>
              </w:rPr>
              <w:t>1070057167</w:t>
            </w:r>
            <w:r>
              <w:rPr>
                <w:rFonts w:ascii="標楷體" w:eastAsia="標楷體" w:hAnsi="標楷體"/>
              </w:rPr>
              <w:t>號、銓敍部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/>
              </w:rPr>
              <w:t>日部銓三字第</w:t>
            </w:r>
            <w:r>
              <w:rPr>
                <w:rFonts w:ascii="標楷體" w:eastAsia="標楷體" w:hAnsi="標楷體"/>
              </w:rPr>
              <w:t>1115485424</w:t>
            </w:r>
            <w:r>
              <w:rPr>
                <w:rFonts w:ascii="標楷體" w:eastAsia="標楷體" w:hAnsi="標楷體"/>
              </w:rPr>
              <w:t>號及行政院人事行政總處同年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日總處組字第</w:t>
            </w:r>
            <w:r>
              <w:rPr>
                <w:rFonts w:ascii="標楷體" w:eastAsia="標楷體" w:hAnsi="標楷體"/>
              </w:rPr>
              <w:t>1110020899</w:t>
            </w:r>
            <w:r>
              <w:rPr>
                <w:rFonts w:ascii="標楷體" w:eastAsia="標楷體" w:hAnsi="標楷體"/>
              </w:rPr>
              <w:t>號函以聘僱人員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含聘僱職代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於請產前假、娩假、流產假及因安胎事由請假等期間所遺業務，得再進用聘用或約僱人員代理其業務，爰依上開函釋修正。</w:t>
            </w:r>
          </w:p>
        </w:tc>
      </w:tr>
      <w:tr w:rsidR="00C32654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jc w:val="both"/>
              <w:rPr>
                <w:rFonts w:ascii="標楷體" w:hAnsi="標楷體"/>
                <w:bCs/>
                <w:sz w:val="24"/>
              </w:rPr>
            </w:pPr>
            <w:r>
              <w:rPr>
                <w:rFonts w:ascii="標楷體" w:hAnsi="標楷體"/>
                <w:bCs/>
                <w:sz w:val="24"/>
              </w:rPr>
              <w:t>二、</w:t>
            </w:r>
            <w:r>
              <w:rPr>
                <w:rFonts w:ascii="標楷體" w:hAnsi="標楷體"/>
                <w:bCs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sz w:val="24"/>
              </w:rPr>
              <w:t>聘（僱）用名冊：</w:t>
            </w:r>
          </w:p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ind w:firstLine="600"/>
              <w:jc w:val="both"/>
            </w:pPr>
            <w:r>
              <w:rPr>
                <w:rFonts w:ascii="標楷體" w:hAnsi="標楷體"/>
                <w:sz w:val="24"/>
              </w:rPr>
              <w:t>同前開一般聘（僱）用情形「聘（僱）用名冊簡化程序」處理方式。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jc w:val="both"/>
              <w:rPr>
                <w:rFonts w:ascii="標楷體" w:hAnsi="標楷體"/>
                <w:bCs/>
                <w:sz w:val="24"/>
              </w:rPr>
            </w:pPr>
            <w:r>
              <w:rPr>
                <w:rFonts w:ascii="標楷體" w:hAnsi="標楷體"/>
                <w:bCs/>
                <w:sz w:val="24"/>
              </w:rPr>
              <w:t>二、</w:t>
            </w:r>
            <w:r>
              <w:rPr>
                <w:rFonts w:ascii="標楷體" w:hAnsi="標楷體"/>
                <w:bCs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sz w:val="24"/>
              </w:rPr>
              <w:t>聘（僱）用名冊：</w:t>
            </w:r>
          </w:p>
          <w:p w:rsidR="00C32654" w:rsidRDefault="00C47F98">
            <w:pPr>
              <w:pStyle w:val="a7"/>
              <w:tabs>
                <w:tab w:val="left" w:pos="3550"/>
              </w:tabs>
              <w:spacing w:before="36" w:after="36" w:line="400" w:lineRule="exact"/>
              <w:ind w:firstLine="600"/>
              <w:jc w:val="both"/>
            </w:pPr>
            <w:r>
              <w:rPr>
                <w:rFonts w:ascii="標楷體" w:hAnsi="標楷體"/>
                <w:sz w:val="24"/>
              </w:rPr>
              <w:t>同前開一般聘（僱）用情形「聘（僱）用名冊簡化程序」處理方式。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4" w:rsidRDefault="00C47F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未修正。</w:t>
            </w:r>
          </w:p>
        </w:tc>
      </w:tr>
    </w:tbl>
    <w:p w:rsidR="00C32654" w:rsidRDefault="00C32654">
      <w:pPr>
        <w:pStyle w:val="af"/>
        <w:spacing w:before="120" w:after="120" w:line="400" w:lineRule="exact"/>
      </w:pPr>
    </w:p>
    <w:sectPr w:rsidR="00C32654">
      <w:headerReference w:type="default" r:id="rId7"/>
      <w:footerReference w:type="default" r:id="rId8"/>
      <w:pgSz w:w="23814" w:h="16839" w:orient="landscape"/>
      <w:pgMar w:top="1588" w:right="1588" w:bottom="1588" w:left="1588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98" w:rsidRDefault="00C47F98">
      <w:r>
        <w:separator/>
      </w:r>
    </w:p>
  </w:endnote>
  <w:endnote w:type="continuationSeparator" w:id="0">
    <w:p w:rsidR="00C47F98" w:rsidRDefault="00C4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00"/>
    <w:family w:val="modern"/>
    <w:pitch w:val="fixed"/>
  </w:font>
  <w:font w:name="華康楷書體W5">
    <w:charset w:val="00"/>
    <w:family w:val="script"/>
    <w:pitch w:val="fixed"/>
  </w:font>
  <w:font w:name="AvantGarde-Demi">
    <w:charset w:val="00"/>
    <w:family w:val="auto"/>
    <w:pitch w:val="variable"/>
  </w:font>
  <w:font w:name="文鼎細明">
    <w:charset w:val="00"/>
    <w:family w:val="modern"/>
    <w:pitch w:val="fixed"/>
  </w:font>
  <w:font w:name="全真中明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94" w:rsidRDefault="00C47F9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173F2">
      <w:rPr>
        <w:noProof/>
        <w:lang w:val="zh-TW"/>
      </w:rPr>
      <w:t>3</w:t>
    </w:r>
    <w:r>
      <w:rPr>
        <w:lang w:val="zh-TW"/>
      </w:rPr>
      <w:fldChar w:fldCharType="end"/>
    </w:r>
  </w:p>
  <w:p w:rsidR="00223294" w:rsidRDefault="00C47F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98" w:rsidRDefault="00C47F98">
      <w:r>
        <w:rPr>
          <w:color w:val="000000"/>
        </w:rPr>
        <w:separator/>
      </w:r>
    </w:p>
  </w:footnote>
  <w:footnote w:type="continuationSeparator" w:id="0">
    <w:p w:rsidR="00C47F98" w:rsidRDefault="00C4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94" w:rsidRDefault="00C47F98">
    <w:pPr>
      <w:pStyle w:val="a3"/>
    </w:pPr>
  </w:p>
  <w:p w:rsidR="00223294" w:rsidRDefault="00C47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6EB"/>
    <w:multiLevelType w:val="multilevel"/>
    <w:tmpl w:val="80F4B8D8"/>
    <w:lvl w:ilvl="0">
      <w:start w:val="1"/>
      <w:numFmt w:val="taiwaneseCountingThousand"/>
      <w:lvlText w:val="(%1)"/>
      <w:lvlJc w:val="left"/>
      <w:pPr>
        <w:ind w:left="1032" w:hanging="552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334B53"/>
    <w:multiLevelType w:val="multilevel"/>
    <w:tmpl w:val="C408EBC0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C51B0"/>
    <w:multiLevelType w:val="multilevel"/>
    <w:tmpl w:val="12A22A1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2654"/>
    <w:rsid w:val="005173F2"/>
    <w:rsid w:val="00C32654"/>
    <w:rsid w:val="00C4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6A3B0-7DDE-4E1C-819B-2E01EFA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ody Text"/>
    <w:basedOn w:val="a"/>
    <w:pPr>
      <w:spacing w:line="480" w:lineRule="auto"/>
    </w:pPr>
    <w:rPr>
      <w:rFonts w:eastAsia="標楷體"/>
      <w:sz w:val="32"/>
    </w:rPr>
  </w:style>
  <w:style w:type="character" w:customStyle="1" w:styleId="a8">
    <w:name w:val="本文 字元"/>
    <w:rPr>
      <w:rFonts w:eastAsia="標楷體"/>
      <w:kern w:val="3"/>
      <w:sz w:val="32"/>
      <w:szCs w:val="24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主旨"/>
    <w:basedOn w:val="a"/>
    <w:pPr>
      <w:spacing w:line="500" w:lineRule="exact"/>
    </w:pPr>
    <w:rPr>
      <w:rFonts w:eastAsia="標楷體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d">
    <w:name w:val="公文(段落)"/>
    <w:basedOn w:val="a"/>
    <w:next w:val="a"/>
    <w:pPr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年月"/>
    <w:basedOn w:val="a"/>
    <w:pPr>
      <w:widowControl/>
      <w:overflowPunct w:val="0"/>
      <w:autoSpaceDE w:val="0"/>
      <w:spacing w:line="0" w:lineRule="atLeast"/>
      <w:ind w:left="2098"/>
      <w:jc w:val="both"/>
      <w:textAlignment w:val="center"/>
    </w:pPr>
    <w:rPr>
      <w:rFonts w:eastAsia="華康中明體"/>
      <w:sz w:val="16"/>
      <w:szCs w:val="20"/>
    </w:rPr>
  </w:style>
  <w:style w:type="paragraph" w:customStyle="1" w:styleId="af">
    <w:name w:val="大標"/>
    <w:pPr>
      <w:suppressAutoHyphens/>
      <w:jc w:val="both"/>
    </w:pPr>
    <w:rPr>
      <w:rFonts w:eastAsia="華康楷書體W5"/>
      <w:sz w:val="36"/>
    </w:rPr>
  </w:style>
  <w:style w:type="paragraph" w:customStyle="1" w:styleId="af0">
    <w:name w:val="條"/>
    <w:pPr>
      <w:widowControl w:val="0"/>
      <w:suppressAutoHyphens/>
      <w:ind w:left="1060" w:hanging="1060"/>
      <w:jc w:val="both"/>
    </w:pPr>
    <w:rPr>
      <w:rFonts w:eastAsia="華康中明體"/>
      <w:sz w:val="22"/>
    </w:rPr>
  </w:style>
  <w:style w:type="paragraph" w:customStyle="1" w:styleId="af1">
    <w:name w:val="條內"/>
    <w:basedOn w:val="af0"/>
    <w:pPr>
      <w:ind w:firstLine="425"/>
    </w:pPr>
  </w:style>
  <w:style w:type="paragraph" w:customStyle="1" w:styleId="af2">
    <w:name w:val="條一"/>
    <w:basedOn w:val="af0"/>
    <w:pPr>
      <w:ind w:left="1679" w:hanging="193"/>
    </w:pPr>
  </w:style>
  <w:style w:type="character" w:styleId="af3">
    <w:name w:val="page number"/>
    <w:rPr>
      <w:rFonts w:ascii="Times New Roman" w:eastAsia="華康楷書體W5" w:hAnsi="Times New Roman"/>
      <w:sz w:val="18"/>
    </w:rPr>
  </w:style>
  <w:style w:type="paragraph" w:customStyle="1" w:styleId="af4">
    <w:name w:val="一"/>
    <w:basedOn w:val="a"/>
    <w:pPr>
      <w:ind w:left="100" w:hanging="100"/>
      <w:jc w:val="both"/>
    </w:pPr>
    <w:rPr>
      <w:rFonts w:eastAsia="華康中明體"/>
      <w:sz w:val="22"/>
    </w:rPr>
  </w:style>
  <w:style w:type="paragraph" w:customStyle="1" w:styleId="af5">
    <w:name w:val="圖文"/>
    <w:basedOn w:val="a"/>
    <w:pPr>
      <w:spacing w:before="50" w:after="100" w:line="300" w:lineRule="exact"/>
      <w:jc w:val="center"/>
    </w:pPr>
    <w:rPr>
      <w:rFonts w:ascii="AvantGarde-Demi" w:eastAsia="文鼎細明" w:hAnsi="AvantGarde-Demi"/>
      <w:sz w:val="20"/>
      <w:szCs w:val="20"/>
    </w:rPr>
  </w:style>
  <w:style w:type="paragraph" w:customStyle="1" w:styleId="af6">
    <w:name w:val="圖"/>
    <w:pPr>
      <w:suppressAutoHyphens/>
      <w:spacing w:line="0" w:lineRule="atLeast"/>
      <w:jc w:val="center"/>
    </w:pPr>
  </w:style>
  <w:style w:type="paragraph" w:customStyle="1" w:styleId="af7">
    <w:name w:val="條文"/>
    <w:pPr>
      <w:widowControl w:val="0"/>
      <w:suppressAutoHyphens/>
      <w:spacing w:line="280" w:lineRule="exact"/>
      <w:ind w:left="1077" w:hanging="907"/>
      <w:jc w:val="both"/>
    </w:pPr>
    <w:rPr>
      <w:rFonts w:eastAsia="全真中明體"/>
      <w:sz w:val="18"/>
    </w:rPr>
  </w:style>
  <w:style w:type="paragraph" w:customStyle="1" w:styleId="af8">
    <w:name w:val="說明"/>
    <w:basedOn w:val="a"/>
    <w:pPr>
      <w:spacing w:line="500" w:lineRule="exact"/>
      <w:ind w:left="300" w:hanging="300"/>
    </w:pPr>
    <w:rPr>
      <w:rFonts w:eastAsia="標楷體"/>
      <w:sz w:val="32"/>
    </w:rPr>
  </w:style>
  <w:style w:type="paragraph" w:customStyle="1" w:styleId="af9">
    <w:name w:val="副本"/>
    <w:basedOn w:val="a"/>
    <w:pPr>
      <w:spacing w:line="300" w:lineRule="exact"/>
      <w:ind w:left="300" w:hanging="300"/>
    </w:pPr>
    <w:rPr>
      <w:rFonts w:eastAsia="標楷體"/>
    </w:rPr>
  </w:style>
  <w:style w:type="paragraph" w:customStyle="1" w:styleId="afa">
    <w:name w:val="全銜"/>
    <w:basedOn w:val="a"/>
    <w:pPr>
      <w:spacing w:after="50" w:line="720" w:lineRule="exact"/>
      <w:jc w:val="center"/>
    </w:pPr>
    <w:rPr>
      <w:rFonts w:eastAsia="標楷體"/>
      <w:b/>
      <w:bCs/>
      <w:sz w:val="40"/>
    </w:rPr>
  </w:style>
  <w:style w:type="paragraph" w:customStyle="1" w:styleId="afb">
    <w:name w:val="地址"/>
    <w:basedOn w:val="a"/>
    <w:pPr>
      <w:spacing w:line="300" w:lineRule="exact"/>
    </w:pPr>
    <w:rPr>
      <w:rFonts w:eastAsia="標楷體"/>
    </w:rPr>
  </w:style>
  <w:style w:type="paragraph" w:customStyle="1" w:styleId="afc">
    <w:name w:val="傳真"/>
    <w:basedOn w:val="a"/>
    <w:pPr>
      <w:spacing w:line="300" w:lineRule="exact"/>
    </w:pPr>
    <w:rPr>
      <w:rFonts w:eastAsia="標楷體"/>
      <w:szCs w:val="20"/>
    </w:rPr>
  </w:style>
  <w:style w:type="paragraph" w:customStyle="1" w:styleId="afd">
    <w:name w:val="承辦人"/>
    <w:basedOn w:val="a"/>
    <w:pPr>
      <w:spacing w:line="300" w:lineRule="exact"/>
    </w:pPr>
    <w:rPr>
      <w:rFonts w:eastAsia="標楷體"/>
      <w:szCs w:val="20"/>
    </w:rPr>
  </w:style>
  <w:style w:type="paragraph" w:customStyle="1" w:styleId="afe">
    <w:name w:val="電話"/>
    <w:basedOn w:val="a"/>
    <w:pPr>
      <w:spacing w:line="300" w:lineRule="exact"/>
    </w:pPr>
    <w:rPr>
      <w:rFonts w:eastAsia="標楷體"/>
      <w:szCs w:val="20"/>
    </w:rPr>
  </w:style>
  <w:style w:type="paragraph" w:customStyle="1" w:styleId="E-Mail">
    <w:name w:val="E-Mail"/>
    <w:basedOn w:val="a"/>
    <w:pPr>
      <w:spacing w:line="300" w:lineRule="exact"/>
    </w:pPr>
    <w:rPr>
      <w:rFonts w:eastAsia="標楷體"/>
    </w:rPr>
  </w:style>
  <w:style w:type="paragraph" w:customStyle="1" w:styleId="aff">
    <w:name w:val="受文者"/>
    <w:basedOn w:val="a"/>
    <w:pPr>
      <w:spacing w:before="50" w:line="500" w:lineRule="exact"/>
      <w:ind w:left="400" w:hanging="400"/>
    </w:pPr>
    <w:rPr>
      <w:rFonts w:eastAsia="標楷體"/>
      <w:sz w:val="32"/>
    </w:rPr>
  </w:style>
  <w:style w:type="paragraph" w:customStyle="1" w:styleId="aff0">
    <w:name w:val="發文日期"/>
    <w:basedOn w:val="a"/>
    <w:pPr>
      <w:spacing w:line="300" w:lineRule="exact"/>
    </w:pPr>
    <w:rPr>
      <w:rFonts w:eastAsia="標楷體"/>
    </w:rPr>
  </w:style>
  <w:style w:type="paragraph" w:customStyle="1" w:styleId="aff1">
    <w:name w:val="發文字號"/>
    <w:basedOn w:val="a"/>
    <w:pPr>
      <w:spacing w:line="300" w:lineRule="exact"/>
    </w:pPr>
    <w:rPr>
      <w:rFonts w:eastAsia="標楷體"/>
    </w:rPr>
  </w:style>
  <w:style w:type="paragraph" w:customStyle="1" w:styleId="aff2">
    <w:name w:val="速別"/>
    <w:basedOn w:val="a"/>
    <w:pPr>
      <w:spacing w:line="300" w:lineRule="exact"/>
    </w:pPr>
    <w:rPr>
      <w:rFonts w:eastAsia="標楷體"/>
    </w:rPr>
  </w:style>
  <w:style w:type="paragraph" w:customStyle="1" w:styleId="aff3">
    <w:name w:val="密等及解密條件或保密期限"/>
    <w:basedOn w:val="a"/>
    <w:pPr>
      <w:spacing w:line="300" w:lineRule="exact"/>
    </w:pPr>
    <w:rPr>
      <w:rFonts w:eastAsia="標楷體"/>
    </w:rPr>
  </w:style>
  <w:style w:type="paragraph" w:customStyle="1" w:styleId="aff4">
    <w:name w:val="附件"/>
    <w:basedOn w:val="a"/>
    <w:pPr>
      <w:spacing w:line="300" w:lineRule="exact"/>
      <w:ind w:left="300" w:hanging="300"/>
    </w:pPr>
    <w:rPr>
      <w:rFonts w:eastAsia="標楷體"/>
    </w:rPr>
  </w:style>
  <w:style w:type="paragraph" w:customStyle="1" w:styleId="aff5">
    <w:name w:val="正本"/>
    <w:basedOn w:val="a"/>
    <w:pPr>
      <w:spacing w:line="300" w:lineRule="exact"/>
      <w:ind w:left="300" w:hanging="300"/>
    </w:pPr>
    <w:rPr>
      <w:rFonts w:eastAsia="標楷體"/>
    </w:rPr>
  </w:style>
  <w:style w:type="character" w:styleId="aff6">
    <w:name w:val="annotation reference"/>
    <w:rPr>
      <w:sz w:val="18"/>
      <w:szCs w:val="18"/>
    </w:rPr>
  </w:style>
  <w:style w:type="paragraph" w:styleId="aff7">
    <w:name w:val="annotation text"/>
    <w:basedOn w:val="a"/>
  </w:style>
  <w:style w:type="character" w:customStyle="1" w:styleId="aff8">
    <w:name w:val="註解文字 字元"/>
    <w:rPr>
      <w:kern w:val="3"/>
      <w:sz w:val="24"/>
      <w:szCs w:val="24"/>
    </w:rPr>
  </w:style>
  <w:style w:type="paragraph" w:styleId="aff9">
    <w:name w:val="annotation subject"/>
    <w:basedOn w:val="aff7"/>
    <w:next w:val="aff7"/>
    <w:rPr>
      <w:b/>
      <w:bCs/>
    </w:rPr>
  </w:style>
  <w:style w:type="character" w:customStyle="1" w:styleId="affa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lastModifiedBy>王詩媃</cp:lastModifiedBy>
  <cp:revision>2</cp:revision>
  <cp:lastPrinted>2024-05-29T08:06:00Z</cp:lastPrinted>
  <dcterms:created xsi:type="dcterms:W3CDTF">2024-06-04T10:20:00Z</dcterms:created>
  <dcterms:modified xsi:type="dcterms:W3CDTF">2024-06-04T10:20:00Z</dcterms:modified>
</cp:coreProperties>
</file>