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1A7" w:rsidRDefault="009731A7">
      <w:pPr>
        <w:pStyle w:val="Standard"/>
        <w:spacing w:line="400" w:lineRule="exact"/>
        <w:jc w:val="center"/>
      </w:pPr>
      <w:r>
        <w:pict>
          <v:shapetype id="_x0000_t202" coordsize="21600,21600" o:spt="202" path="m,l,21600r21600,l21600,xe">
            <v:stroke joinstyle="miter"/>
            <v:path gradientshapeok="t" o:connecttype="rect"/>
          </v:shapetype>
          <v:shape id="外框1" o:spid="_x0000_s1027" type="#_x0000_t202" style="position:absolute;left:0;text-align:left;margin-left:398.55pt;margin-top:-26.75pt;width:55.2pt;height:24.8pt;z-index:251659264;visibility:visible;mso-wrap-style:none" stroked="f">
            <v:textbox style="mso-rotate-with-shape:t">
              <w:txbxContent>
                <w:p w:rsidR="009731A7" w:rsidRDefault="00052830">
                  <w:pPr>
                    <w:pStyle w:val="Framecontents"/>
                  </w:pPr>
                  <w:r>
                    <w:t>附件</w:t>
                  </w:r>
                  <w:r>
                    <w:t>2</w:t>
                  </w:r>
                </w:p>
              </w:txbxContent>
            </v:textbox>
            <w10:wrap type="square"/>
          </v:shape>
        </w:pict>
      </w:r>
      <w:r w:rsidR="00052830">
        <w:rPr>
          <w:rFonts w:ascii="標楷體" w:eastAsia="標楷體" w:hAnsi="標楷體" w:cs="Times New Roman"/>
          <w:b/>
          <w:sz w:val="32"/>
          <w:szCs w:val="32"/>
        </w:rPr>
        <w:t>相關法規條文</w:t>
      </w:r>
    </w:p>
    <w:tbl>
      <w:tblPr>
        <w:tblW w:w="10349" w:type="dxa"/>
        <w:jc w:val="center"/>
        <w:tblLayout w:type="fixed"/>
        <w:tblCellMar>
          <w:left w:w="10" w:type="dxa"/>
          <w:right w:w="10" w:type="dxa"/>
        </w:tblCellMar>
        <w:tblLook w:val="04A0"/>
      </w:tblPr>
      <w:tblGrid>
        <w:gridCol w:w="2121"/>
        <w:gridCol w:w="8228"/>
      </w:tblGrid>
      <w:tr w:rsidR="009731A7" w:rsidTr="009731A7">
        <w:tblPrEx>
          <w:tblCellMar>
            <w:top w:w="0" w:type="dxa"/>
            <w:bottom w:w="0" w:type="dxa"/>
          </w:tblCellMar>
        </w:tblPrEx>
        <w:trPr>
          <w:jc w:val="center"/>
        </w:trPr>
        <w:tc>
          <w:tcPr>
            <w:tcW w:w="10348"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9731A7" w:rsidRDefault="00052830">
            <w:pPr>
              <w:pStyle w:val="Standard"/>
              <w:spacing w:line="400" w:lineRule="exact"/>
              <w:jc w:val="both"/>
            </w:pPr>
            <w:r>
              <w:rPr>
                <w:rFonts w:ascii="標楷體" w:eastAsia="標楷體" w:hAnsi="標楷體" w:cs="Times New Roman"/>
                <w:b/>
                <w:sz w:val="28"/>
                <w:szCs w:val="28"/>
              </w:rPr>
              <w:t>國軍上校以上軍官轉任公務人員</w:t>
            </w:r>
            <w:bookmarkStart w:id="0" w:name="_GoBack"/>
            <w:bookmarkEnd w:id="0"/>
            <w:r>
              <w:rPr>
                <w:rFonts w:ascii="標楷體" w:eastAsia="標楷體" w:hAnsi="標楷體" w:cs="Times New Roman"/>
                <w:b/>
                <w:sz w:val="28"/>
                <w:szCs w:val="28"/>
              </w:rPr>
              <w:t>考試規則</w:t>
            </w:r>
          </w:p>
        </w:tc>
      </w:tr>
      <w:tr w:rsidR="009731A7" w:rsidTr="009731A7">
        <w:tblPrEx>
          <w:tblCellMar>
            <w:top w:w="0" w:type="dxa"/>
            <w:bottom w:w="0" w:type="dxa"/>
          </w:tblCellMar>
        </w:tblPrEx>
        <w:trPr>
          <w:jc w:val="center"/>
        </w:trPr>
        <w:tc>
          <w:tcPr>
            <w:tcW w:w="212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9731A7" w:rsidRDefault="00052830">
            <w:pPr>
              <w:pStyle w:val="Standard"/>
              <w:spacing w:line="400" w:lineRule="exact"/>
            </w:pPr>
            <w:r>
              <w:rPr>
                <w:rFonts w:ascii="標楷體" w:eastAsia="標楷體" w:hAnsi="標楷體" w:cs="Times New Roman"/>
                <w:sz w:val="28"/>
                <w:szCs w:val="28"/>
              </w:rPr>
              <w:t>第</w:t>
            </w:r>
            <w:r>
              <w:rPr>
                <w:rFonts w:ascii="標楷體" w:eastAsia="標楷體" w:hAnsi="標楷體" w:cs="Times New Roman"/>
                <w:sz w:val="28"/>
                <w:szCs w:val="28"/>
              </w:rPr>
              <w:t>9</w:t>
            </w:r>
            <w:r>
              <w:rPr>
                <w:rFonts w:ascii="標楷體" w:eastAsia="標楷體" w:hAnsi="標楷體" w:cs="Times New Roman"/>
                <w:sz w:val="28"/>
                <w:szCs w:val="28"/>
              </w:rPr>
              <w:t>條</w:t>
            </w:r>
          </w:p>
        </w:tc>
        <w:tc>
          <w:tcPr>
            <w:tcW w:w="822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9731A7" w:rsidRDefault="00052830">
            <w:pPr>
              <w:pStyle w:val="Standard"/>
              <w:spacing w:line="400" w:lineRule="exact"/>
              <w:jc w:val="both"/>
            </w:pPr>
            <w:r>
              <w:rPr>
                <w:rFonts w:ascii="標楷體" w:eastAsia="標楷體" w:hAnsi="標楷體" w:cs="Times New Roman"/>
                <w:sz w:val="28"/>
                <w:szCs w:val="28"/>
              </w:rPr>
              <w:t xml:space="preserve">　　本考試錄取人員於接受分發報到後，由轉任機關報請考試院發給考試及格證書。</w:t>
            </w:r>
          </w:p>
          <w:p w:rsidR="009731A7" w:rsidRDefault="00052830">
            <w:pPr>
              <w:pStyle w:val="Standard"/>
              <w:spacing w:line="400" w:lineRule="exact"/>
              <w:jc w:val="both"/>
            </w:pPr>
            <w:r>
              <w:rPr>
                <w:rFonts w:ascii="標楷體" w:eastAsia="標楷體" w:hAnsi="標楷體" w:cs="Times New Roman"/>
                <w:sz w:val="28"/>
                <w:szCs w:val="28"/>
              </w:rPr>
              <w:t xml:space="preserve">　　前項錄取人員於轉任機關分發通知到達後一個月內未報到者，不再分發任用，亦不發給考試及格證書。</w:t>
            </w:r>
          </w:p>
        </w:tc>
      </w:tr>
      <w:tr w:rsidR="009731A7" w:rsidTr="009731A7">
        <w:tblPrEx>
          <w:tblCellMar>
            <w:top w:w="0" w:type="dxa"/>
            <w:bottom w:w="0" w:type="dxa"/>
          </w:tblCellMar>
        </w:tblPrEx>
        <w:trPr>
          <w:jc w:val="center"/>
        </w:trPr>
        <w:tc>
          <w:tcPr>
            <w:tcW w:w="212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9731A7" w:rsidRDefault="00052830">
            <w:pPr>
              <w:pStyle w:val="Standard"/>
              <w:spacing w:line="400" w:lineRule="exact"/>
            </w:pPr>
            <w:r>
              <w:rPr>
                <w:rFonts w:ascii="標楷體" w:eastAsia="標楷體" w:hAnsi="標楷體" w:cs="Times New Roman"/>
                <w:sz w:val="28"/>
                <w:szCs w:val="28"/>
              </w:rPr>
              <w:t>第</w:t>
            </w:r>
            <w:r>
              <w:rPr>
                <w:rFonts w:ascii="標楷體" w:eastAsia="標楷體" w:hAnsi="標楷體" w:cs="Times New Roman"/>
                <w:sz w:val="28"/>
                <w:szCs w:val="28"/>
              </w:rPr>
              <w:t>10</w:t>
            </w:r>
            <w:r>
              <w:rPr>
                <w:rFonts w:ascii="標楷體" w:eastAsia="標楷體" w:hAnsi="標楷體" w:cs="Times New Roman"/>
                <w:sz w:val="28"/>
                <w:szCs w:val="28"/>
              </w:rPr>
              <w:t>條</w:t>
            </w:r>
          </w:p>
        </w:tc>
        <w:tc>
          <w:tcPr>
            <w:tcW w:w="822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9731A7" w:rsidRDefault="00052830">
            <w:pPr>
              <w:pStyle w:val="Standard"/>
              <w:spacing w:line="400" w:lineRule="exact"/>
              <w:jc w:val="both"/>
            </w:pPr>
            <w:r>
              <w:rPr>
                <w:rFonts w:ascii="標楷體" w:eastAsia="標楷體" w:hAnsi="標楷體" w:cs="Times New Roman"/>
                <w:sz w:val="28"/>
                <w:szCs w:val="28"/>
              </w:rPr>
              <w:t xml:space="preserve">　　本考試及格人員，按報名轉任機關，由國家安全會議、國家安全局、國防部、國軍退除役官兵輔導委員會、海洋委員會及其所屬機關</w:t>
            </w:r>
            <w:r>
              <w:rPr>
                <w:rFonts w:ascii="標楷體" w:eastAsia="標楷體" w:hAnsi="標楷體" w:cs="Times New Roman"/>
                <w:sz w:val="28"/>
                <w:szCs w:val="28"/>
              </w:rPr>
              <w:t>(</w:t>
            </w:r>
            <w:r>
              <w:rPr>
                <w:rFonts w:ascii="標楷體" w:eastAsia="標楷體" w:hAnsi="標楷體" w:cs="Times New Roman"/>
                <w:sz w:val="28"/>
                <w:szCs w:val="28"/>
              </w:rPr>
              <w:t>構</w:t>
            </w:r>
            <w:r>
              <w:rPr>
                <w:rFonts w:ascii="標楷體" w:eastAsia="標楷體" w:hAnsi="標楷體" w:cs="Times New Roman"/>
                <w:sz w:val="28"/>
                <w:szCs w:val="28"/>
              </w:rPr>
              <w:t>)</w:t>
            </w:r>
            <w:r>
              <w:rPr>
                <w:rFonts w:ascii="標楷體" w:eastAsia="標楷體" w:hAnsi="標楷體" w:cs="Times New Roman"/>
                <w:sz w:val="28"/>
                <w:szCs w:val="28"/>
              </w:rPr>
              <w:t>、中央及直轄市政府役政、軍訓單位任用，並僅得於各轉任機關間轉調。但轉調海洋委員會及其所屬機關</w:t>
            </w:r>
            <w:r>
              <w:rPr>
                <w:rFonts w:ascii="標楷體" w:eastAsia="標楷體" w:hAnsi="標楷體" w:cs="Times New Roman"/>
                <w:sz w:val="28"/>
                <w:szCs w:val="28"/>
              </w:rPr>
              <w:t>(</w:t>
            </w:r>
            <w:r>
              <w:rPr>
                <w:rFonts w:ascii="標楷體" w:eastAsia="標楷體" w:hAnsi="標楷體" w:cs="Times New Roman"/>
                <w:sz w:val="28"/>
                <w:szCs w:val="28"/>
              </w:rPr>
              <w:t>構</w:t>
            </w:r>
            <w:r>
              <w:rPr>
                <w:rFonts w:ascii="標楷體" w:eastAsia="標楷體" w:hAnsi="標楷體" w:cs="Times New Roman"/>
                <w:sz w:val="28"/>
                <w:szCs w:val="28"/>
              </w:rPr>
              <w:t>)</w:t>
            </w:r>
            <w:r>
              <w:rPr>
                <w:rFonts w:ascii="標楷體" w:eastAsia="標楷體" w:hAnsi="標楷體" w:cs="Times New Roman"/>
                <w:sz w:val="28"/>
                <w:szCs w:val="28"/>
              </w:rPr>
              <w:t>，以具有航海（空）、造船、輪機、資訊、電子等特殊專長者為限。</w:t>
            </w:r>
            <w:r>
              <w:rPr>
                <w:rFonts w:ascii="標楷體" w:eastAsia="標楷體" w:hAnsi="標楷體" w:cs="Times New Roman"/>
                <w:sz w:val="28"/>
                <w:szCs w:val="28"/>
              </w:rPr>
              <w:br/>
            </w:r>
            <w:r>
              <w:rPr>
                <w:rFonts w:ascii="標楷體" w:eastAsia="標楷體" w:hAnsi="標楷體" w:cs="Times New Roman"/>
                <w:sz w:val="28"/>
                <w:szCs w:val="28"/>
              </w:rPr>
              <w:t xml:space="preserve">　　前項轉調之限制，應於考試及格證書註明，並函請銓敘部查照。</w:t>
            </w:r>
          </w:p>
        </w:tc>
      </w:tr>
      <w:tr w:rsidR="009731A7" w:rsidTr="009731A7">
        <w:tblPrEx>
          <w:tblCellMar>
            <w:top w:w="0" w:type="dxa"/>
            <w:bottom w:w="0" w:type="dxa"/>
          </w:tblCellMar>
        </w:tblPrEx>
        <w:trPr>
          <w:jc w:val="center"/>
        </w:trPr>
        <w:tc>
          <w:tcPr>
            <w:tcW w:w="10348"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9731A7" w:rsidRDefault="00052830">
            <w:pPr>
              <w:pStyle w:val="Standard"/>
              <w:spacing w:line="400" w:lineRule="exact"/>
              <w:jc w:val="both"/>
            </w:pPr>
            <w:r>
              <w:rPr>
                <w:rFonts w:ascii="標楷體" w:eastAsia="標楷體" w:hAnsi="標楷體" w:cs="Times New Roman"/>
                <w:b/>
                <w:sz w:val="28"/>
                <w:szCs w:val="28"/>
              </w:rPr>
              <w:t>後備軍人轉任公職考試比敘條例</w:t>
            </w:r>
          </w:p>
        </w:tc>
      </w:tr>
      <w:tr w:rsidR="009731A7" w:rsidTr="009731A7">
        <w:tblPrEx>
          <w:tblCellMar>
            <w:top w:w="0" w:type="dxa"/>
            <w:bottom w:w="0" w:type="dxa"/>
          </w:tblCellMar>
        </w:tblPrEx>
        <w:trPr>
          <w:jc w:val="center"/>
        </w:trPr>
        <w:tc>
          <w:tcPr>
            <w:tcW w:w="212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9731A7" w:rsidRDefault="00052830">
            <w:pPr>
              <w:pStyle w:val="Standard"/>
              <w:spacing w:line="400" w:lineRule="exact"/>
            </w:pPr>
            <w:r>
              <w:rPr>
                <w:rFonts w:ascii="標楷體" w:eastAsia="標楷體" w:hAnsi="標楷體" w:cs="Times New Roman"/>
                <w:sz w:val="28"/>
                <w:szCs w:val="28"/>
              </w:rPr>
              <w:t>第</w:t>
            </w:r>
            <w:r>
              <w:rPr>
                <w:rFonts w:ascii="標楷體" w:eastAsia="標楷體" w:hAnsi="標楷體" w:cs="Times New Roman"/>
                <w:sz w:val="28"/>
                <w:szCs w:val="28"/>
              </w:rPr>
              <w:t>5</w:t>
            </w:r>
            <w:r>
              <w:rPr>
                <w:rFonts w:ascii="標楷體" w:eastAsia="標楷體" w:hAnsi="標楷體" w:cs="Times New Roman"/>
                <w:sz w:val="28"/>
                <w:szCs w:val="28"/>
              </w:rPr>
              <w:t>條之</w:t>
            </w:r>
            <w:r>
              <w:rPr>
                <w:rFonts w:ascii="標楷體" w:eastAsia="標楷體" w:hAnsi="標楷體" w:cs="Times New Roman"/>
                <w:sz w:val="28"/>
                <w:szCs w:val="28"/>
              </w:rPr>
              <w:t>1</w:t>
            </w:r>
          </w:p>
        </w:tc>
        <w:tc>
          <w:tcPr>
            <w:tcW w:w="822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9731A7" w:rsidRDefault="00052830">
            <w:pPr>
              <w:pStyle w:val="Standard"/>
              <w:spacing w:line="400" w:lineRule="exact"/>
              <w:jc w:val="both"/>
            </w:pPr>
            <w:r>
              <w:rPr>
                <w:rFonts w:ascii="標楷體" w:eastAsia="標楷體" w:hAnsi="標楷體" w:cs="Times New Roman"/>
                <w:sz w:val="28"/>
                <w:szCs w:val="28"/>
              </w:rPr>
              <w:t xml:space="preserve">　　國軍上校以上軍官轉任公務人員，以考試定其資格；其考試類科、應考資格、應考年齡、工作經驗、考試方式、應試科目、成績</w:t>
            </w:r>
            <w:r>
              <w:rPr>
                <w:rFonts w:ascii="標楷體" w:eastAsia="標楷體" w:hAnsi="標楷體" w:cs="Times New Roman"/>
                <w:sz w:val="28"/>
                <w:szCs w:val="28"/>
              </w:rPr>
              <w:t>計算、及格標準及其他有關事項，由考試院另以考試規則定之。</w:t>
            </w:r>
          </w:p>
          <w:p w:rsidR="009731A7" w:rsidRDefault="00052830">
            <w:pPr>
              <w:pStyle w:val="Standard"/>
              <w:spacing w:line="400" w:lineRule="exact"/>
              <w:jc w:val="both"/>
            </w:pPr>
            <w:r>
              <w:rPr>
                <w:rFonts w:ascii="標楷體" w:eastAsia="標楷體" w:hAnsi="標楷體" w:cs="Times New Roman"/>
                <w:sz w:val="28"/>
                <w:szCs w:val="28"/>
              </w:rPr>
              <w:t xml:space="preserve">　　前項考試得按轉任機關分別報名、分別錄取任用，並得依應考人軍職官等官階採行不同考試方式。</w:t>
            </w:r>
          </w:p>
          <w:p w:rsidR="009731A7" w:rsidRDefault="00052830">
            <w:pPr>
              <w:pStyle w:val="Standard"/>
              <w:spacing w:line="400" w:lineRule="exact"/>
              <w:jc w:val="both"/>
            </w:pPr>
            <w:r>
              <w:rPr>
                <w:rFonts w:ascii="標楷體" w:eastAsia="標楷體" w:hAnsi="標楷體" w:cs="Times New Roman"/>
                <w:sz w:val="28"/>
                <w:szCs w:val="28"/>
              </w:rPr>
              <w:t xml:space="preserve">　　第一項考試及格人員取得簡任官等任用資格，並按其軍職官等官階及年資，比敘相當職等及俸級，其轉任簡任低職等職務及先以薦任第八職等或第九職等任用者，除予合格實授外，其依規定應取得之較高官等、職等任用資格，仍予保留。</w:t>
            </w:r>
          </w:p>
          <w:p w:rsidR="009731A7" w:rsidRDefault="00052830">
            <w:pPr>
              <w:pStyle w:val="Standard"/>
              <w:spacing w:line="400" w:lineRule="exact"/>
              <w:jc w:val="both"/>
            </w:pPr>
            <w:r>
              <w:rPr>
                <w:rFonts w:ascii="標楷體" w:eastAsia="標楷體" w:hAnsi="標楷體" w:cs="Times New Roman"/>
                <w:sz w:val="28"/>
                <w:szCs w:val="28"/>
              </w:rPr>
              <w:t xml:space="preserve">　　第一項考試及格人員，按報名轉任機關，由國家安全會議、國家安全局、國防部、行政院國軍退除役官兵輔導委員會、行政院海岸巡防署及其所屬機關（構）、中央及直轄市政府役政、軍訓單位任用，並僅得於各轉任機關間轉調。但轉調行政院海岸巡防署及其所屬機關（構），以具有航海（空）、造船、輪機、資訊、電子等特殊專長者為限。</w:t>
            </w:r>
          </w:p>
          <w:p w:rsidR="009731A7" w:rsidRDefault="00052830">
            <w:pPr>
              <w:pStyle w:val="Standard"/>
              <w:spacing w:line="400" w:lineRule="exact"/>
              <w:jc w:val="both"/>
            </w:pPr>
            <w:r>
              <w:rPr>
                <w:rFonts w:ascii="標楷體" w:eastAsia="標楷體" w:hAnsi="標楷體" w:cs="Times New Roman"/>
                <w:sz w:val="28"/>
                <w:szCs w:val="28"/>
              </w:rPr>
              <w:t xml:space="preserve">　　隨同業務移撥行政院海岸巡防署及其所屬機關（構）之國軍上校以上軍官，尚未取得公務人員任用資格者，本條例修正公布施行後，三年內得依原國軍上校以上軍官外職停役轉任公務人員檢覈規則辦理。</w:t>
            </w:r>
          </w:p>
          <w:p w:rsidR="009731A7" w:rsidRDefault="00052830">
            <w:pPr>
              <w:pStyle w:val="Standard"/>
              <w:spacing w:line="400" w:lineRule="exact"/>
              <w:jc w:val="both"/>
            </w:pPr>
            <w:r>
              <w:rPr>
                <w:rFonts w:ascii="標楷體" w:eastAsia="標楷體" w:hAnsi="標楷體" w:cs="Times New Roman"/>
                <w:sz w:val="28"/>
                <w:szCs w:val="28"/>
              </w:rPr>
              <w:t xml:space="preserve">　　本條例修正公布施</w:t>
            </w:r>
            <w:r>
              <w:rPr>
                <w:rFonts w:ascii="標楷體" w:eastAsia="標楷體" w:hAnsi="標楷體" w:cs="Times New Roman"/>
                <w:sz w:val="28"/>
                <w:szCs w:val="28"/>
              </w:rPr>
              <w:t>行前，國軍上校以上軍官外職停役轉任公</w:t>
            </w:r>
            <w:r>
              <w:rPr>
                <w:rFonts w:ascii="標楷體" w:eastAsia="標楷體" w:hAnsi="標楷體" w:cs="Times New Roman"/>
                <w:sz w:val="28"/>
                <w:szCs w:val="28"/>
              </w:rPr>
              <w:lastRenderedPageBreak/>
              <w:t>務人員，經核定有案者，依原國軍上校以上軍官外職停役轉任公務人員檢覈規則辦理。</w:t>
            </w:r>
          </w:p>
        </w:tc>
      </w:tr>
      <w:tr w:rsidR="009731A7" w:rsidTr="009731A7">
        <w:tblPrEx>
          <w:tblCellMar>
            <w:top w:w="0" w:type="dxa"/>
            <w:bottom w:w="0" w:type="dxa"/>
          </w:tblCellMar>
        </w:tblPrEx>
        <w:trPr>
          <w:jc w:val="center"/>
        </w:trPr>
        <w:tc>
          <w:tcPr>
            <w:tcW w:w="10348"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9731A7" w:rsidRDefault="00052830">
            <w:pPr>
              <w:pStyle w:val="Standard"/>
              <w:spacing w:line="400" w:lineRule="exact"/>
              <w:jc w:val="both"/>
            </w:pPr>
            <w:r>
              <w:rPr>
                <w:rFonts w:ascii="標楷體" w:eastAsia="標楷體" w:hAnsi="標楷體" w:cs="Times New Roman"/>
                <w:b/>
                <w:sz w:val="28"/>
                <w:szCs w:val="28"/>
              </w:rPr>
              <w:lastRenderedPageBreak/>
              <w:t>公務人員考試法</w:t>
            </w:r>
          </w:p>
        </w:tc>
      </w:tr>
      <w:tr w:rsidR="009731A7" w:rsidTr="009731A7">
        <w:tblPrEx>
          <w:tblCellMar>
            <w:top w:w="0" w:type="dxa"/>
            <w:bottom w:w="0" w:type="dxa"/>
          </w:tblCellMar>
        </w:tblPrEx>
        <w:trPr>
          <w:jc w:val="center"/>
        </w:trPr>
        <w:tc>
          <w:tcPr>
            <w:tcW w:w="212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9731A7" w:rsidRDefault="00052830">
            <w:pPr>
              <w:pStyle w:val="Standard"/>
              <w:spacing w:line="400" w:lineRule="exact"/>
            </w:pPr>
            <w:r>
              <w:rPr>
                <w:rFonts w:ascii="標楷體" w:eastAsia="標楷體" w:hAnsi="標楷體" w:cs="Times New Roman"/>
                <w:sz w:val="28"/>
                <w:szCs w:val="28"/>
              </w:rPr>
              <w:t>第</w:t>
            </w:r>
            <w:r>
              <w:rPr>
                <w:rFonts w:ascii="標楷體" w:eastAsia="標楷體" w:hAnsi="標楷體" w:cs="Times New Roman"/>
                <w:sz w:val="28"/>
                <w:szCs w:val="28"/>
              </w:rPr>
              <w:t>24</w:t>
            </w:r>
            <w:r>
              <w:rPr>
                <w:rFonts w:ascii="標楷體" w:eastAsia="標楷體" w:hAnsi="標楷體" w:cs="Times New Roman"/>
                <w:sz w:val="28"/>
                <w:szCs w:val="28"/>
              </w:rPr>
              <w:t>條</w:t>
            </w:r>
          </w:p>
        </w:tc>
        <w:tc>
          <w:tcPr>
            <w:tcW w:w="822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9731A7" w:rsidRDefault="00052830">
            <w:pPr>
              <w:pStyle w:val="Standard"/>
              <w:spacing w:line="400" w:lineRule="exact"/>
              <w:jc w:val="both"/>
            </w:pPr>
            <w:r>
              <w:rPr>
                <w:rFonts w:ascii="標楷體" w:eastAsia="標楷體" w:hAnsi="標楷體" w:cs="Times New Roman"/>
                <w:sz w:val="28"/>
                <w:szCs w:val="28"/>
              </w:rPr>
              <w:t xml:space="preserve">　　中華民國八十八年起，特種考試退除役軍人轉任公務人員考試，其及格人員以分發國防部、國軍退除役官兵輔導委員會、海洋委員會及其所屬機關（構）任用為限，及格人員於服務六年內，不得轉調原分發任用機關及其所屬機關以外之機關任職；上校以上軍官外職停役轉任公務人員檢覈及格及國軍上校以上軍官轉任公務人員考試及格者，僅得轉任國家安全會議、國家安全局、國防部、國軍退除役官兵輔導委員會</w:t>
            </w:r>
            <w:r>
              <w:rPr>
                <w:rFonts w:ascii="標楷體" w:eastAsia="標楷體" w:hAnsi="標楷體" w:cs="Times New Roman"/>
                <w:sz w:val="28"/>
                <w:szCs w:val="28"/>
              </w:rPr>
              <w:t>、海洋委員會及其所屬機關（構）、中央及直轄市政府役政、軍訓單位。</w:t>
            </w:r>
          </w:p>
          <w:p w:rsidR="009731A7" w:rsidRDefault="00052830">
            <w:pPr>
              <w:pStyle w:val="Standard"/>
              <w:spacing w:line="400" w:lineRule="exact"/>
              <w:jc w:val="both"/>
            </w:pPr>
            <w:r>
              <w:rPr>
                <w:rFonts w:ascii="標楷體" w:eastAsia="標楷體" w:hAnsi="標楷體" w:cs="Times New Roman"/>
                <w:sz w:val="28"/>
                <w:szCs w:val="28"/>
              </w:rPr>
              <w:t xml:space="preserve">　　後備軍人參加公務人員高等暨普通考試、特種考試退除役軍人轉任公務人員考試之加分優待，以獲頒國光、青天白日、寶鼎、忠勇、雲麾、大同勳章乙座以上，或因作戰或因公負傷依法離營者為限。</w:t>
            </w:r>
          </w:p>
        </w:tc>
      </w:tr>
    </w:tbl>
    <w:p w:rsidR="009731A7" w:rsidRDefault="009731A7">
      <w:pPr>
        <w:pStyle w:val="Standard"/>
      </w:pPr>
    </w:p>
    <w:p w:rsidR="009731A7" w:rsidRDefault="009731A7">
      <w:pPr>
        <w:pStyle w:val="Standard"/>
        <w:jc w:val="center"/>
      </w:pPr>
    </w:p>
    <w:sectPr w:rsidR="009731A7" w:rsidSect="009731A7">
      <w:pgSz w:w="11906" w:h="16838"/>
      <w:pgMar w:top="964" w:right="1797" w:bottom="964" w:left="179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830" w:rsidRDefault="00052830" w:rsidP="009731A7">
      <w:r>
        <w:separator/>
      </w:r>
    </w:p>
  </w:endnote>
  <w:endnote w:type="continuationSeparator" w:id="0">
    <w:p w:rsidR="00052830" w:rsidRDefault="00052830" w:rsidP="009731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00000000" w:usb1="00000000" w:usb2="00000000" w:usb3="00000000" w:csb0="00000000"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830" w:rsidRDefault="00052830" w:rsidP="009731A7">
      <w:r w:rsidRPr="009731A7">
        <w:rPr>
          <w:color w:val="000000"/>
        </w:rPr>
        <w:separator/>
      </w:r>
    </w:p>
  </w:footnote>
  <w:footnote w:type="continuationSeparator" w:id="0">
    <w:p w:rsidR="00052830" w:rsidRDefault="00052830" w:rsidP="009731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26BC7"/>
    <w:multiLevelType w:val="multilevel"/>
    <w:tmpl w:val="0F8E1A8E"/>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9731A7"/>
    <w:rsid w:val="00052830"/>
    <w:rsid w:val="009731A7"/>
    <w:rsid w:val="00BB2CA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731A7"/>
  </w:style>
  <w:style w:type="paragraph" w:customStyle="1" w:styleId="Heading">
    <w:name w:val="Heading"/>
    <w:basedOn w:val="Standard"/>
    <w:next w:val="Textbody"/>
    <w:rsid w:val="009731A7"/>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rsid w:val="009731A7"/>
    <w:pPr>
      <w:spacing w:after="140" w:line="276" w:lineRule="auto"/>
    </w:pPr>
  </w:style>
  <w:style w:type="paragraph" w:styleId="a3">
    <w:name w:val="List"/>
    <w:basedOn w:val="Textbody"/>
    <w:rsid w:val="009731A7"/>
    <w:rPr>
      <w:rFonts w:cs="Lucida Sans"/>
    </w:rPr>
  </w:style>
  <w:style w:type="paragraph" w:customStyle="1" w:styleId="Caption">
    <w:name w:val="Caption"/>
    <w:basedOn w:val="Standard"/>
    <w:rsid w:val="009731A7"/>
    <w:pPr>
      <w:suppressLineNumbers/>
      <w:spacing w:before="120" w:after="120"/>
    </w:pPr>
    <w:rPr>
      <w:rFonts w:cs="Lucida Sans"/>
      <w:i/>
      <w:iCs/>
      <w:szCs w:val="24"/>
    </w:rPr>
  </w:style>
  <w:style w:type="paragraph" w:customStyle="1" w:styleId="Index">
    <w:name w:val="Index"/>
    <w:basedOn w:val="Standard"/>
    <w:rsid w:val="009731A7"/>
    <w:pPr>
      <w:suppressLineNumbers/>
    </w:pPr>
    <w:rPr>
      <w:rFonts w:cs="Lucida Sans"/>
    </w:rPr>
  </w:style>
  <w:style w:type="paragraph" w:styleId="a4">
    <w:name w:val="Balloon Text"/>
    <w:basedOn w:val="Standard"/>
    <w:rsid w:val="009731A7"/>
    <w:rPr>
      <w:rFonts w:ascii="Calibri Light" w:hAnsi="Calibri Light"/>
      <w:sz w:val="18"/>
      <w:szCs w:val="18"/>
    </w:rPr>
  </w:style>
  <w:style w:type="paragraph" w:customStyle="1" w:styleId="Header">
    <w:name w:val="Header"/>
    <w:basedOn w:val="Standard"/>
    <w:rsid w:val="009731A7"/>
    <w:pPr>
      <w:tabs>
        <w:tab w:val="center" w:pos="4153"/>
        <w:tab w:val="right" w:pos="8306"/>
      </w:tabs>
      <w:snapToGrid w:val="0"/>
    </w:pPr>
    <w:rPr>
      <w:sz w:val="20"/>
      <w:szCs w:val="20"/>
    </w:rPr>
  </w:style>
  <w:style w:type="paragraph" w:customStyle="1" w:styleId="Footer">
    <w:name w:val="Footer"/>
    <w:basedOn w:val="Standard"/>
    <w:rsid w:val="009731A7"/>
    <w:pPr>
      <w:tabs>
        <w:tab w:val="center" w:pos="4153"/>
        <w:tab w:val="right" w:pos="8306"/>
      </w:tabs>
      <w:snapToGrid w:val="0"/>
    </w:pPr>
    <w:rPr>
      <w:sz w:val="20"/>
      <w:szCs w:val="20"/>
    </w:rPr>
  </w:style>
  <w:style w:type="paragraph" w:customStyle="1" w:styleId="Framecontents">
    <w:name w:val="Frame contents"/>
    <w:basedOn w:val="Standard"/>
    <w:rsid w:val="009731A7"/>
  </w:style>
  <w:style w:type="character" w:customStyle="1" w:styleId="a5">
    <w:name w:val="註解方塊文字 字元"/>
    <w:basedOn w:val="a0"/>
    <w:rsid w:val="009731A7"/>
    <w:rPr>
      <w:rFonts w:ascii="Calibri Light" w:eastAsia="新細明體" w:hAnsi="Calibri Light" w:cs="F"/>
      <w:sz w:val="18"/>
      <w:szCs w:val="18"/>
    </w:rPr>
  </w:style>
  <w:style w:type="character" w:customStyle="1" w:styleId="a6">
    <w:name w:val="頁首 字元"/>
    <w:basedOn w:val="a0"/>
    <w:rsid w:val="009731A7"/>
    <w:rPr>
      <w:sz w:val="20"/>
      <w:szCs w:val="20"/>
    </w:rPr>
  </w:style>
  <w:style w:type="character" w:customStyle="1" w:styleId="a7">
    <w:name w:val="頁尾 字元"/>
    <w:basedOn w:val="a0"/>
    <w:rsid w:val="009731A7"/>
    <w:rPr>
      <w:sz w:val="20"/>
      <w:szCs w:val="20"/>
    </w:rPr>
  </w:style>
  <w:style w:type="numbering" w:customStyle="1" w:styleId="NoList">
    <w:name w:val="No List"/>
    <w:basedOn w:val="a2"/>
    <w:rsid w:val="009731A7"/>
    <w:pPr>
      <w:numPr>
        <w:numId w:val="1"/>
      </w:numPr>
    </w:pPr>
  </w:style>
  <w:style w:type="paragraph" w:styleId="a8">
    <w:name w:val="header"/>
    <w:basedOn w:val="a"/>
    <w:link w:val="1"/>
    <w:uiPriority w:val="99"/>
    <w:semiHidden/>
    <w:unhideWhenUsed/>
    <w:rsid w:val="00BB2CA2"/>
    <w:pPr>
      <w:tabs>
        <w:tab w:val="center" w:pos="4153"/>
        <w:tab w:val="right" w:pos="8306"/>
      </w:tabs>
      <w:snapToGrid w:val="0"/>
    </w:pPr>
    <w:rPr>
      <w:sz w:val="20"/>
      <w:szCs w:val="20"/>
    </w:rPr>
  </w:style>
  <w:style w:type="character" w:customStyle="1" w:styleId="1">
    <w:name w:val="頁首 字元1"/>
    <w:basedOn w:val="a0"/>
    <w:link w:val="a8"/>
    <w:uiPriority w:val="99"/>
    <w:semiHidden/>
    <w:rsid w:val="00BB2CA2"/>
    <w:rPr>
      <w:sz w:val="20"/>
      <w:szCs w:val="20"/>
    </w:rPr>
  </w:style>
  <w:style w:type="paragraph" w:styleId="a9">
    <w:name w:val="footer"/>
    <w:basedOn w:val="a"/>
    <w:link w:val="10"/>
    <w:uiPriority w:val="99"/>
    <w:semiHidden/>
    <w:unhideWhenUsed/>
    <w:rsid w:val="00BB2CA2"/>
    <w:pPr>
      <w:tabs>
        <w:tab w:val="center" w:pos="4153"/>
        <w:tab w:val="right" w:pos="8306"/>
      </w:tabs>
      <w:snapToGrid w:val="0"/>
    </w:pPr>
    <w:rPr>
      <w:sz w:val="20"/>
      <w:szCs w:val="20"/>
    </w:rPr>
  </w:style>
  <w:style w:type="character" w:customStyle="1" w:styleId="10">
    <w:name w:val="頁尾 字元1"/>
    <w:basedOn w:val="a0"/>
    <w:link w:val="a9"/>
    <w:uiPriority w:val="99"/>
    <w:semiHidden/>
    <w:rsid w:val="00BB2CA2"/>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2</Pages>
  <Words>178</Words>
  <Characters>1021</Characters>
  <Application>Microsoft Office Word</Application>
  <DocSecurity>0</DocSecurity>
  <Lines>8</Lines>
  <Paragraphs>2</Paragraphs>
  <ScaleCrop>false</ScaleCrop>
  <Company>C.M.T</Company>
  <LinksUpToDate>false</LinksUpToDate>
  <CharactersWithSpaces>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陳婉婷</dc:creator>
  <cp:lastModifiedBy>DLM003</cp:lastModifiedBy>
  <cp:revision>1</cp:revision>
  <cp:lastPrinted>2021-12-27T02:51:00Z</cp:lastPrinted>
  <dcterms:created xsi:type="dcterms:W3CDTF">2021-09-11T03:47:00Z</dcterms:created>
  <dcterms:modified xsi:type="dcterms:W3CDTF">2022-01-07T02:23:00Z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moex</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