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23" w:rsidRPr="00284C23" w:rsidRDefault="00284C23" w:rsidP="00284C23">
      <w:pPr>
        <w:widowControl/>
        <w:spacing w:line="320" w:lineRule="atLeast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預算員額填表說明：</w:t>
      </w:r>
    </w:p>
    <w:p w:rsidR="00284C23" w:rsidRPr="00284C23" w:rsidRDefault="00284C23" w:rsidP="00284C23">
      <w:pPr>
        <w:widowControl/>
        <w:spacing w:line="320" w:lineRule="atLeast"/>
        <w:ind w:left="567" w:hanging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一、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請以各地方政府最新核定公務預算、作業基金、及校務基金項下以人事費編列之員額</w:t>
      </w:r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（含中央機關全額補助人事費或與地方政府共同支應人事費預算者）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為基準填列，</w:t>
      </w:r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</w:rPr>
        <w:t>但</w:t>
      </w:r>
      <w:proofErr w:type="gramStart"/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不含以業務</w:t>
      </w:r>
      <w:proofErr w:type="gramEnd"/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費、中央機關全額補助業務費編列之預算員額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，以及</w:t>
      </w:r>
      <w:r w:rsidRPr="00284C23">
        <w:rPr>
          <w:rFonts w:ascii="標楷體" w:eastAsia="標楷體" w:hAnsi="標楷體" w:cs="Times New Roman" w:hint="eastAsia"/>
          <w:kern w:val="0"/>
          <w:szCs w:val="24"/>
        </w:rPr>
        <w:t>地方公營事業機構、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公立幼兒園之預算員額。</w:t>
      </w:r>
    </w:p>
    <w:p w:rsidR="00284C23" w:rsidRPr="00284C23" w:rsidRDefault="00284C23" w:rsidP="00284C23">
      <w:pPr>
        <w:widowControl/>
        <w:spacing w:line="320" w:lineRule="atLeast"/>
        <w:ind w:left="567" w:hanging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二、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另各機關之預算員額如係以「作業基金」編列，其員額數亦請填於該機關「公務預算」之各年度預算員額表中。</w:t>
      </w:r>
    </w:p>
    <w:p w:rsidR="00284C23" w:rsidRPr="00284C23" w:rsidRDefault="00284C23" w:rsidP="00284C23">
      <w:pPr>
        <w:widowControl/>
        <w:spacing w:line="320" w:lineRule="atLeast"/>
        <w:ind w:left="567" w:hanging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</w:rPr>
        <w:t>三、</w:t>
      </w:r>
      <w:r w:rsidRPr="00284C23">
        <w:rPr>
          <w:rFonts w:ascii="Times New Roman" w:eastAsia="標楷體" w:hAnsi="Times New Roman" w:cs="Times New Roman"/>
          <w:color w:val="FF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又如地方政府預算書中如僅核列所屬機關可進用員額，但機關現職人數大於可進用員額時(按：</w:t>
      </w:r>
      <w:proofErr w:type="gramStart"/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現員數</w:t>
      </w:r>
      <w:proofErr w:type="gramEnd"/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大於可進用員額部分係控管超額出缺不補)，預算員額數以現職人數填列，並於年度中配合超額員額出缺，調降預算員額數。</w:t>
      </w:r>
    </w:p>
    <w:p w:rsidR="00284C23" w:rsidRPr="00284C23" w:rsidRDefault="00284C23" w:rsidP="00284C23">
      <w:pPr>
        <w:widowControl/>
        <w:spacing w:line="320" w:lineRule="atLeast"/>
        <w:ind w:left="567" w:hanging="56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四、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各員額類別定義如下：</w:t>
      </w:r>
    </w:p>
    <w:p w:rsidR="00284C23" w:rsidRPr="00284C23" w:rsidRDefault="00284C23" w:rsidP="00284C23">
      <w:pPr>
        <w:widowControl/>
        <w:spacing w:line="320" w:lineRule="atLeast"/>
        <w:ind w:left="96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（一）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職員：預算員額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佔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職員編制表內職稱者。</w:t>
      </w:r>
    </w:p>
    <w:p w:rsidR="00284C23" w:rsidRPr="00284C23" w:rsidRDefault="00284C23" w:rsidP="00284C23">
      <w:pPr>
        <w:widowControl/>
        <w:spacing w:line="320" w:lineRule="atLeast"/>
        <w:ind w:left="96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（二）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教師：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1、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校長：公立各級學校校長。</w:t>
      </w:r>
    </w:p>
    <w:p w:rsidR="00284C23" w:rsidRPr="00284C23" w:rsidRDefault="00284C23" w:rsidP="00284C23">
      <w:pPr>
        <w:widowControl/>
        <w:spacing w:line="320" w:lineRule="atLeast"/>
        <w:ind w:left="2127" w:hanging="1134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2、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教師：公立各級學校正式教師（含兼行政教師）、</w:t>
      </w:r>
      <w:r w:rsidRPr="00284C23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特殊教育教師、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專任輔導教師、依「各級學校專任運動教練聘任管理辦法」聘任之專任運動教練、公立高級中學教官。</w:t>
      </w:r>
    </w:p>
    <w:p w:rsidR="00284C23" w:rsidRPr="00284C23" w:rsidRDefault="00284C23" w:rsidP="00284C23">
      <w:pPr>
        <w:widowControl/>
        <w:spacing w:line="320" w:lineRule="atLeast"/>
        <w:ind w:left="96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（三）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臨編職員及其他未納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銓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審職員：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1、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配合政策在編制外臨時派用人員，如依原「行政院青年輔導委員會協助留學生回國服務實施要點」進用之臨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編薦派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人員。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2、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屠宰稅法廢止後，各縣市稅捐稽徵處僱用之屠宰場管理員，以縣市稅捐稽徵處臨編書記安置之人員。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3、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教育人員任用條例施行前，己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遴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用未具任用資格之學校現任職員，得繼續任原職至其離職為止之未納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銓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審職員。</w:t>
      </w:r>
    </w:p>
    <w:p w:rsidR="00284C23" w:rsidRPr="00284C23" w:rsidRDefault="00284C23" w:rsidP="00284C23">
      <w:pPr>
        <w:widowControl/>
        <w:spacing w:line="320" w:lineRule="atLeast"/>
        <w:ind w:left="96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（四）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約聘僱欄內各員額類別定義如下：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1、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聘用：依「聘用人員聘用條例」進用且編列有聘用人員預算員額，或員額編列於聘用人員預算項下之人員。</w:t>
      </w:r>
    </w:p>
    <w:p w:rsidR="00284C23" w:rsidRPr="00284C23" w:rsidRDefault="00284C23" w:rsidP="00284C23">
      <w:pPr>
        <w:widowControl/>
        <w:spacing w:line="320" w:lineRule="atLeast"/>
        <w:ind w:left="1440" w:hanging="480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2、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約僱：依「行政院</w:t>
      </w:r>
      <w:r w:rsidR="004E4D1F">
        <w:rPr>
          <w:rFonts w:ascii="標楷體" w:eastAsia="標楷體" w:hAnsi="標楷體" w:cs="Times New Roman" w:hint="eastAsia"/>
          <w:color w:val="000000"/>
          <w:kern w:val="0"/>
          <w:szCs w:val="24"/>
        </w:rPr>
        <w:t>與所屬中央及地方各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機關約僱人員</w:t>
      </w:r>
      <w:bookmarkStart w:id="0" w:name="_GoBack"/>
      <w:bookmarkEnd w:id="0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僱用辦法」進用且編列有約僱人員預算員額，或員額編列於約僱人員預算項下之人員。</w:t>
      </w:r>
    </w:p>
    <w:p w:rsidR="00284C23" w:rsidRPr="00284C23" w:rsidRDefault="00284C23" w:rsidP="00284C23">
      <w:pPr>
        <w:widowControl/>
        <w:spacing w:line="320" w:lineRule="atLeast"/>
        <w:ind w:left="1276" w:hanging="796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（五）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駐衛警員額類別定義：依「各機關學校團體駐衛警察設置管理辦法」進用人員。</w:t>
      </w:r>
    </w:p>
    <w:p w:rsidR="00284C23" w:rsidRPr="00284C23" w:rsidRDefault="00284C23" w:rsidP="00284C23">
      <w:pPr>
        <w:widowControl/>
        <w:spacing w:line="320" w:lineRule="atLeast"/>
        <w:ind w:left="1276" w:hanging="796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（六）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工友欄內員額類別定義如下：技工、工友、駕駛，</w:t>
      </w:r>
      <w:proofErr w:type="gramStart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均係依</w:t>
      </w:r>
      <w:proofErr w:type="gramEnd"/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「工友管理要點」進用之人員。</w:t>
      </w:r>
    </w:p>
    <w:p w:rsidR="007034DB" w:rsidRPr="00284C23" w:rsidRDefault="00284C23" w:rsidP="00284C23">
      <w:pPr>
        <w:widowControl/>
        <w:spacing w:line="320" w:lineRule="atLeast"/>
        <w:ind w:left="1276" w:hanging="796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（七）</w:t>
      </w:r>
      <w:r w:rsidRPr="00284C23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 xml:space="preserve"> 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t>清潔隊員、測量助理員額類別定義：依臺灣省政府原訂之「臺灣省各級清潔機構清潔隊員駕駛技工管理要點」、「臺灣省各地政機關測量</w:t>
      </w:r>
      <w:r w:rsidRPr="00284C23">
        <w:rPr>
          <w:rFonts w:ascii="標楷體" w:eastAsia="標楷體" w:hAnsi="標楷體" w:cs="Times New Roman" w:hint="eastAsia"/>
          <w:color w:val="000000"/>
          <w:kern w:val="0"/>
          <w:szCs w:val="24"/>
        </w:rPr>
        <w:lastRenderedPageBreak/>
        <w:t>助理管理要點」或縣市政府本於權責訂定規定進用及管理之清潔隊員或測量助理。</w:t>
      </w:r>
    </w:p>
    <w:sectPr w:rsidR="007034DB" w:rsidRPr="00284C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AD"/>
    <w:rsid w:val="00284C23"/>
    <w:rsid w:val="004E4D1F"/>
    <w:rsid w:val="007034DB"/>
    <w:rsid w:val="008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64024-9EBA-4A9F-8709-9E1F0C45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>CYHG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洪琬婷</dc:creator>
  <cp:keywords/>
  <dc:description/>
  <cp:lastModifiedBy>陳怡樺</cp:lastModifiedBy>
  <cp:revision>3</cp:revision>
  <dcterms:created xsi:type="dcterms:W3CDTF">2018-12-12T02:48:00Z</dcterms:created>
  <dcterms:modified xsi:type="dcterms:W3CDTF">2020-12-24T02:30:00Z</dcterms:modified>
</cp:coreProperties>
</file>