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ED0" w:rsidRDefault="0003434D">
      <w:pPr>
        <w:pStyle w:val="Textbody"/>
        <w:spacing w:after="100" w:line="520" w:lineRule="exact"/>
        <w:jc w:val="center"/>
        <w:rPr>
          <w:rFonts w:ascii="標楷體" w:eastAsia="標楷體" w:hAnsi="標楷體"/>
          <w:b/>
          <w:sz w:val="36"/>
          <w:szCs w:val="36"/>
        </w:rPr>
      </w:pPr>
      <w:bookmarkStart w:id="0" w:name="_GoBack"/>
      <w:r>
        <w:rPr>
          <w:rFonts w:ascii="標楷體" w:eastAsia="標楷體" w:hAnsi="標楷體"/>
          <w:b/>
          <w:sz w:val="36"/>
          <w:szCs w:val="36"/>
        </w:rPr>
        <w:t>110</w:t>
      </w:r>
      <w:r>
        <w:rPr>
          <w:rFonts w:ascii="標楷體" w:eastAsia="標楷體" w:hAnsi="標楷體"/>
          <w:b/>
          <w:sz w:val="36"/>
          <w:szCs w:val="36"/>
        </w:rPr>
        <w:t>年度精進人事業務建議獎勵研究主題一覽表</w:t>
      </w:r>
    </w:p>
    <w:bookmarkEnd w:id="0"/>
    <w:p w:rsidR="009A3ED0" w:rsidRDefault="0003434D">
      <w:pPr>
        <w:pStyle w:val="Textbody"/>
        <w:spacing w:line="520" w:lineRule="exact"/>
        <w:jc w:val="right"/>
        <w:rPr>
          <w:rFonts w:ascii="標楷體" w:eastAsia="標楷體" w:hAnsi="標楷體"/>
          <w:szCs w:val="36"/>
        </w:rPr>
      </w:pPr>
      <w:r>
        <w:rPr>
          <w:rFonts w:ascii="標楷體" w:eastAsia="標楷體" w:hAnsi="標楷體"/>
          <w:szCs w:val="36"/>
        </w:rPr>
        <w:t>110.4.15</w:t>
      </w:r>
    </w:p>
    <w:tbl>
      <w:tblPr>
        <w:tblW w:w="9624" w:type="dxa"/>
        <w:jc w:val="center"/>
        <w:tblLayout w:type="fixed"/>
        <w:tblCellMar>
          <w:left w:w="10" w:type="dxa"/>
          <w:right w:w="10" w:type="dxa"/>
        </w:tblCellMar>
        <w:tblLook w:val="0000" w:firstRow="0" w:lastRow="0" w:firstColumn="0" w:lastColumn="0" w:noHBand="0" w:noVBand="0"/>
      </w:tblPr>
      <w:tblGrid>
        <w:gridCol w:w="552"/>
        <w:gridCol w:w="2694"/>
        <w:gridCol w:w="6378"/>
      </w:tblGrid>
      <w:tr w:rsidR="009A3ED0">
        <w:tblPrEx>
          <w:tblCellMar>
            <w:top w:w="0" w:type="dxa"/>
            <w:bottom w:w="0" w:type="dxa"/>
          </w:tblCellMar>
        </w:tblPrEx>
        <w:trPr>
          <w:tblHeader/>
          <w:jc w:val="center"/>
        </w:trPr>
        <w:tc>
          <w:tcPr>
            <w:tcW w:w="552" w:type="dxa"/>
            <w:tcBorders>
              <w:top w:val="single" w:sz="6" w:space="0" w:color="000000"/>
              <w:left w:val="single" w:sz="12"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9A3ED0" w:rsidRDefault="0003434D">
            <w:pPr>
              <w:pStyle w:val="Textbody"/>
              <w:spacing w:line="340" w:lineRule="exact"/>
              <w:jc w:val="center"/>
              <w:rPr>
                <w:rFonts w:ascii="標楷體" w:eastAsia="標楷體" w:hAnsi="標楷體"/>
                <w:b/>
                <w:bCs/>
                <w:spacing w:val="-20"/>
                <w:sz w:val="28"/>
                <w:szCs w:val="28"/>
              </w:rPr>
            </w:pPr>
            <w:r>
              <w:rPr>
                <w:rFonts w:ascii="標楷體" w:eastAsia="標楷體" w:hAnsi="標楷體"/>
                <w:b/>
                <w:bCs/>
                <w:spacing w:val="-20"/>
                <w:sz w:val="28"/>
                <w:szCs w:val="28"/>
              </w:rPr>
              <w:t>項次</w:t>
            </w:r>
          </w:p>
        </w:tc>
        <w:tc>
          <w:tcPr>
            <w:tcW w:w="2694" w:type="dxa"/>
            <w:tcBorders>
              <w:top w:val="single" w:sz="6"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9A3ED0" w:rsidRDefault="0003434D">
            <w:pPr>
              <w:pStyle w:val="Textbody"/>
              <w:spacing w:line="340" w:lineRule="exact"/>
              <w:jc w:val="center"/>
              <w:rPr>
                <w:rFonts w:ascii="標楷體" w:eastAsia="標楷體" w:hAnsi="標楷體"/>
                <w:b/>
                <w:bCs/>
                <w:spacing w:val="-20"/>
                <w:sz w:val="28"/>
                <w:szCs w:val="28"/>
              </w:rPr>
            </w:pPr>
            <w:r>
              <w:rPr>
                <w:rFonts w:ascii="標楷體" w:eastAsia="標楷體" w:hAnsi="標楷體"/>
                <w:b/>
                <w:bCs/>
                <w:spacing w:val="-20"/>
                <w:sz w:val="28"/>
                <w:szCs w:val="28"/>
              </w:rPr>
              <w:t>研究主題</w:t>
            </w:r>
          </w:p>
        </w:tc>
        <w:tc>
          <w:tcPr>
            <w:tcW w:w="6378" w:type="dxa"/>
            <w:tcBorders>
              <w:top w:val="single" w:sz="6" w:space="0" w:color="000000"/>
              <w:left w:val="single" w:sz="4" w:space="0" w:color="000000"/>
              <w:bottom w:val="single" w:sz="4" w:space="0" w:color="000000"/>
              <w:right w:val="single" w:sz="12" w:space="0" w:color="000000"/>
            </w:tcBorders>
            <w:shd w:val="clear" w:color="auto" w:fill="FBD4B4"/>
            <w:tcMar>
              <w:top w:w="0" w:type="dxa"/>
              <w:left w:w="108" w:type="dxa"/>
              <w:bottom w:w="0" w:type="dxa"/>
              <w:right w:w="108" w:type="dxa"/>
            </w:tcMar>
            <w:vAlign w:val="center"/>
          </w:tcPr>
          <w:p w:rsidR="009A3ED0" w:rsidRDefault="0003434D">
            <w:pPr>
              <w:pStyle w:val="Textbody"/>
              <w:spacing w:line="340" w:lineRule="exact"/>
              <w:jc w:val="center"/>
              <w:rPr>
                <w:rFonts w:ascii="標楷體" w:eastAsia="標楷體" w:hAnsi="標楷體"/>
                <w:b/>
                <w:bCs/>
                <w:sz w:val="28"/>
                <w:szCs w:val="28"/>
              </w:rPr>
            </w:pPr>
            <w:r>
              <w:rPr>
                <w:rFonts w:ascii="標楷體" w:eastAsia="標楷體" w:hAnsi="標楷體"/>
                <w:b/>
                <w:bCs/>
                <w:sz w:val="28"/>
                <w:szCs w:val="28"/>
              </w:rPr>
              <w:t>說明</w:t>
            </w:r>
          </w:p>
        </w:tc>
      </w:tr>
      <w:tr w:rsidR="009A3ED0">
        <w:tblPrEx>
          <w:tblCellMar>
            <w:top w:w="0" w:type="dxa"/>
            <w:bottom w:w="0" w:type="dxa"/>
          </w:tblCellMar>
        </w:tblPrEx>
        <w:trPr>
          <w:trHeight w:val="2194"/>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center"/>
              <w:rPr>
                <w:rFonts w:ascii="標楷體" w:eastAsia="標楷體" w:hAnsi="標楷體"/>
                <w:bCs/>
                <w:sz w:val="28"/>
                <w:szCs w:val="24"/>
              </w:rPr>
            </w:pPr>
            <w:r>
              <w:rPr>
                <w:rFonts w:ascii="標楷體" w:eastAsia="標楷體" w:hAnsi="標楷體"/>
                <w:bCs/>
                <w:sz w:val="28"/>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both"/>
              <w:rPr>
                <w:rFonts w:ascii="標楷體" w:eastAsia="標楷體" w:hAnsi="標楷體"/>
                <w:bCs/>
                <w:sz w:val="28"/>
                <w:szCs w:val="24"/>
              </w:rPr>
            </w:pPr>
            <w:r>
              <w:rPr>
                <w:rFonts w:ascii="標楷體" w:eastAsia="標楷體" w:hAnsi="標楷體"/>
                <w:bCs/>
                <w:sz w:val="28"/>
                <w:szCs w:val="24"/>
              </w:rPr>
              <w:t>如何強化機關安全及衛生防護的具體措施</w:t>
            </w:r>
          </w:p>
          <w:p w:rsidR="009A3ED0" w:rsidRDefault="009A3ED0">
            <w:pPr>
              <w:pStyle w:val="Textbody"/>
              <w:spacing w:line="300" w:lineRule="exact"/>
              <w:jc w:val="both"/>
              <w:rPr>
                <w:rFonts w:ascii="標楷體" w:eastAsia="標楷體" w:hAnsi="標楷體"/>
                <w:bCs/>
                <w:sz w:val="28"/>
                <w:szCs w:val="24"/>
              </w:rPr>
            </w:pPr>
          </w:p>
        </w:tc>
        <w:tc>
          <w:tcPr>
            <w:tcW w:w="637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A3ED0" w:rsidRDefault="0003434D">
            <w:pPr>
              <w:pStyle w:val="a6"/>
              <w:numPr>
                <w:ilvl w:val="0"/>
                <w:numId w:val="1"/>
              </w:numPr>
              <w:snapToGrid w:val="0"/>
              <w:spacing w:line="340" w:lineRule="exact"/>
              <w:ind w:left="531" w:hanging="531"/>
              <w:jc w:val="both"/>
              <w:rPr>
                <w:rFonts w:ascii="標楷體" w:eastAsia="標楷體" w:hAnsi="標楷體"/>
                <w:sz w:val="26"/>
                <w:szCs w:val="26"/>
              </w:rPr>
            </w:pPr>
            <w:r>
              <w:rPr>
                <w:rFonts w:ascii="標楷體" w:eastAsia="標楷體" w:hAnsi="標楷體"/>
                <w:sz w:val="26"/>
                <w:szCs w:val="26"/>
              </w:rPr>
              <w:t>依「公務人員保障法」（以下簡稱保障法）第</w:t>
            </w:r>
            <w:r>
              <w:rPr>
                <w:rFonts w:ascii="標楷體" w:eastAsia="標楷體" w:hAnsi="標楷體"/>
                <w:sz w:val="26"/>
                <w:szCs w:val="26"/>
              </w:rPr>
              <w:t>19</w:t>
            </w:r>
            <w:r>
              <w:rPr>
                <w:rFonts w:ascii="標楷體" w:eastAsia="標楷體" w:hAnsi="標楷體"/>
                <w:sz w:val="26"/>
                <w:szCs w:val="26"/>
              </w:rPr>
              <w:t>條規定，公務人員執行職務之安全應予保障。各機關對於公務人員之執行職務，應提供安全及衛生之防護措施。復依「公務人員安全及衛生防護辦法」第</w:t>
            </w:r>
            <w:r>
              <w:rPr>
                <w:rFonts w:ascii="標楷體" w:eastAsia="標楷體" w:hAnsi="標楷體"/>
                <w:sz w:val="26"/>
                <w:szCs w:val="26"/>
              </w:rPr>
              <w:t>2</w:t>
            </w:r>
            <w:r>
              <w:rPr>
                <w:rFonts w:ascii="標楷體" w:eastAsia="標楷體" w:hAnsi="標楷體"/>
                <w:sz w:val="26"/>
                <w:szCs w:val="26"/>
              </w:rPr>
              <w:t>條規定，保障法第</w:t>
            </w:r>
            <w:r>
              <w:rPr>
                <w:rFonts w:ascii="標楷體" w:eastAsia="標楷體" w:hAnsi="標楷體"/>
                <w:sz w:val="26"/>
                <w:szCs w:val="26"/>
              </w:rPr>
              <w:t>3</w:t>
            </w:r>
            <w:r>
              <w:rPr>
                <w:rFonts w:ascii="標楷體" w:eastAsia="標楷體" w:hAnsi="標楷體"/>
                <w:sz w:val="26"/>
                <w:szCs w:val="26"/>
              </w:rPr>
              <w:t>條及第</w:t>
            </w:r>
            <w:r>
              <w:rPr>
                <w:rFonts w:ascii="標楷體" w:eastAsia="標楷體" w:hAnsi="標楷體"/>
                <w:sz w:val="26"/>
                <w:szCs w:val="26"/>
              </w:rPr>
              <w:t>102</w:t>
            </w:r>
            <w:r>
              <w:rPr>
                <w:rFonts w:ascii="標楷體" w:eastAsia="標楷體" w:hAnsi="標楷體"/>
                <w:sz w:val="26"/>
                <w:szCs w:val="26"/>
              </w:rPr>
              <w:t>條所定人員，執行職務之安全及衛生防護措施，依本辦法規定。</w:t>
            </w:r>
          </w:p>
          <w:p w:rsidR="009A3ED0" w:rsidRDefault="0003434D">
            <w:pPr>
              <w:pStyle w:val="a6"/>
              <w:numPr>
                <w:ilvl w:val="0"/>
                <w:numId w:val="1"/>
              </w:numPr>
              <w:snapToGrid w:val="0"/>
              <w:spacing w:line="340" w:lineRule="exact"/>
              <w:ind w:left="531" w:hanging="531"/>
              <w:jc w:val="both"/>
              <w:rPr>
                <w:rFonts w:ascii="標楷體" w:eastAsia="標楷體" w:hAnsi="標楷體"/>
                <w:sz w:val="26"/>
                <w:szCs w:val="26"/>
              </w:rPr>
            </w:pPr>
            <w:r>
              <w:rPr>
                <w:rFonts w:ascii="標楷體" w:eastAsia="標楷體" w:hAnsi="標楷體"/>
                <w:sz w:val="26"/>
                <w:szCs w:val="26"/>
              </w:rPr>
              <w:t>茲以前開規定多屬原則性規範，各機關亦需考量業務屬性、執行職務地點及器具設備等因素提供公務人員合宜之安全及衛生防護措施。為兼顧機關業務推動並使公務人員能安心、放心工作，各機關於現行保障法相關法令下，可採取哪些具體措施以強化公務人員安全及衛生防護之</w:t>
            </w:r>
            <w:r>
              <w:rPr>
                <w:rFonts w:ascii="標楷體" w:eastAsia="標楷體" w:hAnsi="標楷體"/>
                <w:sz w:val="26"/>
                <w:szCs w:val="26"/>
              </w:rPr>
              <w:t>保障，實值得集思廣益及深度研討。</w:t>
            </w:r>
          </w:p>
        </w:tc>
      </w:tr>
      <w:tr w:rsidR="009A3ED0">
        <w:tblPrEx>
          <w:tblCellMar>
            <w:top w:w="0" w:type="dxa"/>
            <w:bottom w:w="0" w:type="dxa"/>
          </w:tblCellMar>
        </w:tblPrEx>
        <w:trPr>
          <w:trHeight w:val="2445"/>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center"/>
              <w:rPr>
                <w:rFonts w:ascii="標楷體" w:eastAsia="標楷體" w:hAnsi="標楷體"/>
                <w:bCs/>
                <w:sz w:val="28"/>
                <w:szCs w:val="24"/>
              </w:rPr>
            </w:pPr>
            <w:r>
              <w:rPr>
                <w:rFonts w:ascii="標楷體" w:eastAsia="標楷體" w:hAnsi="標楷體"/>
                <w:bCs/>
                <w:sz w:val="28"/>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both"/>
              <w:rPr>
                <w:rFonts w:ascii="標楷體" w:eastAsia="標楷體" w:hAnsi="標楷體"/>
                <w:bCs/>
                <w:sz w:val="28"/>
                <w:szCs w:val="24"/>
              </w:rPr>
            </w:pPr>
            <w:r>
              <w:rPr>
                <w:rFonts w:ascii="標楷體" w:eastAsia="標楷體" w:hAnsi="標楷體"/>
                <w:bCs/>
                <w:sz w:val="28"/>
                <w:szCs w:val="24"/>
              </w:rPr>
              <w:t>如何運用差勤系統資料進行機關人力運用評估的想法</w:t>
            </w:r>
          </w:p>
          <w:p w:rsidR="009A3ED0" w:rsidRDefault="009A3ED0">
            <w:pPr>
              <w:pStyle w:val="Textbody"/>
              <w:spacing w:line="300" w:lineRule="exact"/>
              <w:jc w:val="both"/>
              <w:rPr>
                <w:rFonts w:ascii="標楷體" w:eastAsia="標楷體" w:hAnsi="標楷體"/>
                <w:bCs/>
                <w:sz w:val="28"/>
                <w:szCs w:val="24"/>
              </w:rPr>
            </w:pPr>
          </w:p>
        </w:tc>
        <w:tc>
          <w:tcPr>
            <w:tcW w:w="637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A3ED0" w:rsidRDefault="0003434D">
            <w:pPr>
              <w:pStyle w:val="Textbody"/>
              <w:spacing w:line="340" w:lineRule="exact"/>
              <w:jc w:val="both"/>
              <w:rPr>
                <w:rFonts w:ascii="標楷體" w:eastAsia="標楷體" w:hAnsi="標楷體"/>
                <w:bCs/>
                <w:sz w:val="26"/>
                <w:szCs w:val="26"/>
              </w:rPr>
            </w:pPr>
            <w:r>
              <w:rPr>
                <w:rFonts w:ascii="標楷體" w:eastAsia="標楷體" w:hAnsi="標楷體"/>
                <w:bCs/>
                <w:sz w:val="26"/>
                <w:szCs w:val="26"/>
              </w:rPr>
              <w:t>為協助人事人員診斷機關人力問題，以助組織人才管理決策，請思考如何就差勤系統相關資料</w:t>
            </w:r>
            <w:r>
              <w:rPr>
                <w:rFonts w:ascii="標楷體" w:eastAsia="標楷體" w:hAnsi="標楷體"/>
                <w:bCs/>
                <w:sz w:val="26"/>
                <w:szCs w:val="26"/>
              </w:rPr>
              <w:t>(</w:t>
            </w:r>
            <w:r>
              <w:rPr>
                <w:rFonts w:ascii="標楷體" w:eastAsia="標楷體" w:hAnsi="標楷體"/>
                <w:bCs/>
                <w:sz w:val="26"/>
                <w:szCs w:val="26"/>
              </w:rPr>
              <w:t>如人員屬性、工作及加班時數、差假天數及類別、班表類型等</w:t>
            </w:r>
            <w:r>
              <w:rPr>
                <w:rFonts w:ascii="標楷體" w:eastAsia="標楷體" w:hAnsi="標楷體"/>
                <w:bCs/>
                <w:sz w:val="26"/>
                <w:szCs w:val="26"/>
              </w:rPr>
              <w:t>)</w:t>
            </w:r>
            <w:r>
              <w:rPr>
                <w:rFonts w:ascii="標楷體" w:eastAsia="標楷體" w:hAnsi="標楷體"/>
                <w:bCs/>
                <w:sz w:val="26"/>
                <w:szCs w:val="26"/>
              </w:rPr>
              <w:t>，利用不同研究方法</w:t>
            </w:r>
            <w:r>
              <w:rPr>
                <w:rFonts w:ascii="標楷體" w:eastAsia="標楷體" w:hAnsi="標楷體"/>
                <w:bCs/>
                <w:sz w:val="26"/>
                <w:szCs w:val="26"/>
              </w:rPr>
              <w:t>(</w:t>
            </w:r>
            <w:r>
              <w:rPr>
                <w:rFonts w:ascii="標楷體" w:eastAsia="標楷體" w:hAnsi="標楷體"/>
                <w:bCs/>
                <w:sz w:val="26"/>
                <w:szCs w:val="26"/>
              </w:rPr>
              <w:t>如調查法、觀察法、實驗法、個案研究法等</w:t>
            </w:r>
            <w:r>
              <w:rPr>
                <w:rFonts w:ascii="標楷體" w:eastAsia="標楷體" w:hAnsi="標楷體"/>
                <w:bCs/>
                <w:sz w:val="26"/>
                <w:szCs w:val="26"/>
              </w:rPr>
              <w:t>)</w:t>
            </w:r>
            <w:r>
              <w:rPr>
                <w:rFonts w:ascii="標楷體" w:eastAsia="標楷體" w:hAnsi="標楷體"/>
                <w:bCs/>
                <w:sz w:val="26"/>
                <w:szCs w:val="26"/>
              </w:rPr>
              <w:t>，進行現象分析及潛在問題洞察</w:t>
            </w:r>
            <w:r>
              <w:rPr>
                <w:rFonts w:ascii="標楷體" w:eastAsia="標楷體" w:hAnsi="標楷體"/>
                <w:bCs/>
                <w:sz w:val="26"/>
                <w:szCs w:val="26"/>
              </w:rPr>
              <w:t>(</w:t>
            </w:r>
            <w:r>
              <w:rPr>
                <w:rFonts w:ascii="標楷體" w:eastAsia="標楷體" w:hAnsi="標楷體"/>
                <w:bCs/>
                <w:sz w:val="26"/>
                <w:szCs w:val="26"/>
              </w:rPr>
              <w:t>如勞逸不均、影響工作時數之季節性因素、工作能力差異等</w:t>
            </w:r>
            <w:r>
              <w:rPr>
                <w:rFonts w:ascii="標楷體" w:eastAsia="標楷體" w:hAnsi="標楷體"/>
                <w:bCs/>
                <w:sz w:val="26"/>
                <w:szCs w:val="26"/>
              </w:rPr>
              <w:t>)</w:t>
            </w:r>
            <w:r>
              <w:rPr>
                <w:rFonts w:ascii="標楷體" w:eastAsia="標楷體" w:hAnsi="標楷體"/>
                <w:bCs/>
                <w:sz w:val="26"/>
                <w:szCs w:val="26"/>
              </w:rPr>
              <w:t>，俾作為評估機關業務調整、人員調配及人力素質提升之參據。</w:t>
            </w:r>
          </w:p>
        </w:tc>
      </w:tr>
      <w:tr w:rsidR="009A3ED0">
        <w:tblPrEx>
          <w:tblCellMar>
            <w:top w:w="0" w:type="dxa"/>
            <w:bottom w:w="0" w:type="dxa"/>
          </w:tblCellMar>
        </w:tblPrEx>
        <w:trPr>
          <w:trHeight w:val="320"/>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center"/>
              <w:rPr>
                <w:rFonts w:ascii="標楷體" w:eastAsia="標楷體" w:hAnsi="標楷體"/>
                <w:bCs/>
                <w:sz w:val="28"/>
                <w:szCs w:val="24"/>
              </w:rPr>
            </w:pPr>
            <w:r>
              <w:rPr>
                <w:rFonts w:ascii="標楷體" w:eastAsia="標楷體" w:hAnsi="標楷體"/>
                <w:bCs/>
                <w:sz w:val="28"/>
                <w:szCs w:val="24"/>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both"/>
              <w:rPr>
                <w:rFonts w:ascii="標楷體" w:eastAsia="標楷體" w:hAnsi="標楷體"/>
                <w:bCs/>
                <w:sz w:val="28"/>
                <w:szCs w:val="24"/>
              </w:rPr>
            </w:pPr>
            <w:r>
              <w:rPr>
                <w:rFonts w:ascii="標楷體" w:eastAsia="標楷體" w:hAnsi="標楷體"/>
                <w:bCs/>
                <w:sz w:val="28"/>
                <w:szCs w:val="24"/>
              </w:rPr>
              <w:t>如何吸引專技人員轉任公務人員的非待遇面制度之作法建議</w:t>
            </w:r>
          </w:p>
          <w:p w:rsidR="009A3ED0" w:rsidRDefault="0003434D">
            <w:pPr>
              <w:pStyle w:val="Textbody"/>
              <w:spacing w:line="300" w:lineRule="exact"/>
              <w:jc w:val="both"/>
            </w:pPr>
            <w:r>
              <w:rPr>
                <w:rFonts w:ascii="標楷體" w:eastAsia="標楷體" w:hAnsi="標楷體"/>
                <w:bCs/>
                <w:szCs w:val="26"/>
                <w:shd w:val="clear" w:color="auto" w:fill="CCCCCC"/>
              </w:rPr>
              <w:t>（研究方法須納入意見調查並對調查結果進行量化分析）</w:t>
            </w:r>
          </w:p>
          <w:p w:rsidR="009A3ED0" w:rsidRDefault="009A3ED0">
            <w:pPr>
              <w:pStyle w:val="Textbody"/>
              <w:spacing w:line="300" w:lineRule="exact"/>
              <w:jc w:val="both"/>
              <w:rPr>
                <w:rFonts w:ascii="標楷體" w:eastAsia="標楷體" w:hAnsi="標楷體"/>
                <w:bCs/>
                <w:sz w:val="28"/>
                <w:szCs w:val="24"/>
              </w:rPr>
            </w:pPr>
          </w:p>
        </w:tc>
        <w:tc>
          <w:tcPr>
            <w:tcW w:w="637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A3ED0" w:rsidRDefault="0003434D">
            <w:pPr>
              <w:pStyle w:val="a6"/>
              <w:numPr>
                <w:ilvl w:val="0"/>
                <w:numId w:val="2"/>
              </w:numPr>
              <w:snapToGrid w:val="0"/>
              <w:spacing w:line="340" w:lineRule="exact"/>
              <w:ind w:left="531" w:hanging="531"/>
              <w:jc w:val="both"/>
              <w:rPr>
                <w:rFonts w:ascii="標楷體" w:eastAsia="標楷體" w:hAnsi="標楷體"/>
                <w:sz w:val="26"/>
                <w:szCs w:val="26"/>
                <w:lang w:eastAsia="zh-HK"/>
              </w:rPr>
            </w:pPr>
            <w:r>
              <w:rPr>
                <w:rFonts w:ascii="標楷體" w:eastAsia="標楷體" w:hAnsi="標楷體"/>
                <w:sz w:val="26"/>
                <w:szCs w:val="26"/>
                <w:lang w:eastAsia="zh-HK"/>
              </w:rPr>
              <w:t>專門職業及技術人員（以下簡稱專技人員）轉任公務人員制度可協助政府進用具執業經驗之專技人員進入公部門服務，惟該制度定位為考試用人外之輔助性用人措施，不利政府延攬人才。基於時空環境快速變遷，各領域專業分工深化，專業人才為提升組織競爭力之基石，政府如何引進專技人員以提升治理能力是為公部門人力資源管理之重要研究課題。</w:t>
            </w:r>
          </w:p>
          <w:p w:rsidR="009A3ED0" w:rsidRDefault="0003434D">
            <w:pPr>
              <w:pStyle w:val="a6"/>
              <w:numPr>
                <w:ilvl w:val="0"/>
                <w:numId w:val="2"/>
              </w:numPr>
              <w:snapToGrid w:val="0"/>
              <w:spacing w:line="340" w:lineRule="exact"/>
              <w:ind w:left="531" w:hanging="531"/>
              <w:jc w:val="both"/>
              <w:rPr>
                <w:rFonts w:ascii="標楷體" w:eastAsia="標楷體" w:hAnsi="標楷體"/>
                <w:sz w:val="26"/>
                <w:szCs w:val="26"/>
                <w:lang w:eastAsia="zh-HK"/>
              </w:rPr>
            </w:pPr>
            <w:r>
              <w:rPr>
                <w:rFonts w:ascii="標楷體" w:eastAsia="標楷體" w:hAnsi="標楷體"/>
                <w:sz w:val="26"/>
                <w:szCs w:val="26"/>
                <w:lang w:eastAsia="zh-HK"/>
              </w:rPr>
              <w:t>現行轉任人數鮮少，無法滿足機關專業領域業務之人員需求，專技人員轉任後於調任及陞遷等權益亦受有限制，加以工作環境不符期待等因素，部分機關面臨專技人力流失之問題。因此，如何吸引專技人員轉任公部門並使其穩定留任，宜深入探討分析原因，並藉本研究提出吸引專技人員轉任公務人員之非待遇面制度之改進效益及具體建議之可行性等，俾利政府延攬並留任專技人</w:t>
            </w:r>
            <w:r>
              <w:rPr>
                <w:rFonts w:ascii="標楷體" w:eastAsia="標楷體" w:hAnsi="標楷體"/>
                <w:sz w:val="26"/>
                <w:szCs w:val="26"/>
                <w:lang w:eastAsia="zh-HK"/>
              </w:rPr>
              <w:lastRenderedPageBreak/>
              <w:t>員，型塑具競爭力之人力資本。</w:t>
            </w:r>
          </w:p>
        </w:tc>
      </w:tr>
      <w:tr w:rsidR="009A3ED0">
        <w:tblPrEx>
          <w:tblCellMar>
            <w:top w:w="0" w:type="dxa"/>
            <w:bottom w:w="0" w:type="dxa"/>
          </w:tblCellMar>
        </w:tblPrEx>
        <w:trPr>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center"/>
              <w:rPr>
                <w:rFonts w:ascii="標楷體" w:eastAsia="標楷體" w:hAnsi="標楷體"/>
                <w:bCs/>
                <w:sz w:val="28"/>
                <w:szCs w:val="24"/>
              </w:rPr>
            </w:pPr>
            <w:r>
              <w:rPr>
                <w:rFonts w:ascii="標楷體" w:eastAsia="標楷體" w:hAnsi="標楷體"/>
                <w:bCs/>
                <w:sz w:val="28"/>
                <w:szCs w:val="24"/>
              </w:rPr>
              <w:lastRenderedPageBreak/>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both"/>
              <w:rPr>
                <w:rFonts w:ascii="標楷體" w:eastAsia="標楷體" w:hAnsi="標楷體"/>
                <w:bCs/>
                <w:sz w:val="28"/>
                <w:szCs w:val="24"/>
              </w:rPr>
            </w:pPr>
            <w:r>
              <w:rPr>
                <w:rFonts w:ascii="標楷體" w:eastAsia="標楷體" w:hAnsi="標楷體"/>
                <w:bCs/>
                <w:sz w:val="28"/>
                <w:szCs w:val="24"/>
              </w:rPr>
              <w:t>如何吸引及留任專技人員轉任公務人員的待遇制度之作法建議</w:t>
            </w:r>
          </w:p>
          <w:p w:rsidR="009A3ED0" w:rsidRDefault="0003434D">
            <w:pPr>
              <w:pStyle w:val="Textbody"/>
              <w:spacing w:line="300" w:lineRule="exact"/>
              <w:jc w:val="both"/>
            </w:pPr>
            <w:r>
              <w:rPr>
                <w:rFonts w:ascii="標楷體" w:eastAsia="標楷體" w:hAnsi="標楷體"/>
                <w:bCs/>
                <w:szCs w:val="26"/>
                <w:shd w:val="clear" w:color="auto" w:fill="CCCCCC"/>
              </w:rPr>
              <w:t>（研究方法須納入意見調查並對調查結果進行量化分析）</w:t>
            </w:r>
          </w:p>
          <w:p w:rsidR="009A3ED0" w:rsidRDefault="009A3ED0">
            <w:pPr>
              <w:pStyle w:val="Textbody"/>
              <w:spacing w:line="300" w:lineRule="exact"/>
              <w:jc w:val="both"/>
              <w:rPr>
                <w:rFonts w:ascii="標楷體" w:eastAsia="標楷體" w:hAnsi="標楷體"/>
                <w:bCs/>
                <w:sz w:val="28"/>
                <w:szCs w:val="24"/>
              </w:rPr>
            </w:pPr>
          </w:p>
        </w:tc>
        <w:tc>
          <w:tcPr>
            <w:tcW w:w="637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A3ED0" w:rsidRDefault="0003434D">
            <w:pPr>
              <w:pStyle w:val="a6"/>
              <w:numPr>
                <w:ilvl w:val="0"/>
                <w:numId w:val="3"/>
              </w:numPr>
              <w:snapToGrid w:val="0"/>
              <w:spacing w:line="340" w:lineRule="exact"/>
              <w:ind w:left="531" w:hanging="531"/>
              <w:jc w:val="both"/>
              <w:rPr>
                <w:rFonts w:ascii="標楷體" w:eastAsia="標楷體" w:hAnsi="標楷體"/>
                <w:bCs/>
                <w:color w:val="000000"/>
                <w:sz w:val="26"/>
                <w:szCs w:val="26"/>
              </w:rPr>
            </w:pPr>
            <w:r>
              <w:rPr>
                <w:rFonts w:ascii="標楷體" w:eastAsia="標楷體" w:hAnsi="標楷體"/>
                <w:bCs/>
                <w:color w:val="000000"/>
                <w:sz w:val="26"/>
                <w:szCs w:val="26"/>
              </w:rPr>
              <w:t>隨著時代發展愈趨專業化，政府對專技人員之進用情形，須予重新衡量評估，本總處刻就相關議題研議未來可能規劃方向。又未來如引進專技人員進入政府部門服務，各領域專技人員待遇與機關內一般考試進用人員是否差異化處理，亦應配合考量。</w:t>
            </w:r>
          </w:p>
          <w:p w:rsidR="009A3ED0" w:rsidRDefault="0003434D">
            <w:pPr>
              <w:pStyle w:val="a6"/>
              <w:numPr>
                <w:ilvl w:val="0"/>
                <w:numId w:val="3"/>
              </w:numPr>
              <w:snapToGrid w:val="0"/>
              <w:spacing w:line="340" w:lineRule="exact"/>
              <w:ind w:left="531" w:hanging="531"/>
              <w:jc w:val="both"/>
              <w:rPr>
                <w:rFonts w:ascii="標楷體" w:eastAsia="標楷體" w:hAnsi="標楷體"/>
                <w:bCs/>
                <w:color w:val="000000"/>
                <w:sz w:val="26"/>
                <w:szCs w:val="26"/>
              </w:rPr>
            </w:pPr>
            <w:r>
              <w:rPr>
                <w:rFonts w:ascii="標楷體" w:eastAsia="標楷體" w:hAnsi="標楷體"/>
                <w:bCs/>
                <w:color w:val="000000"/>
                <w:sz w:val="26"/>
                <w:szCs w:val="26"/>
              </w:rPr>
              <w:t>考量政府部門待遇向依同工同酬之原則設計，又目前政府部門職務設計並無針對是否具備專技人員證書而為不同規劃，未來如擴大進用專技人員，是否規劃需具專技人員證書始得辦理之業務，得依工作內容設計不同待遇，因涉及各機關實務需求、職務內容調整及內部人員管理等議題，爰研提本研究主題蒐集機關意見，俾作為後續研</w:t>
            </w:r>
            <w:r>
              <w:rPr>
                <w:rFonts w:ascii="標楷體" w:eastAsia="標楷體" w:hAnsi="標楷體"/>
                <w:bCs/>
                <w:color w:val="000000"/>
                <w:sz w:val="26"/>
                <w:szCs w:val="26"/>
              </w:rPr>
              <w:t>議之參考。</w:t>
            </w:r>
          </w:p>
        </w:tc>
      </w:tr>
      <w:tr w:rsidR="009A3ED0">
        <w:tblPrEx>
          <w:tblCellMar>
            <w:top w:w="0" w:type="dxa"/>
            <w:bottom w:w="0" w:type="dxa"/>
          </w:tblCellMar>
        </w:tblPrEx>
        <w:trPr>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center"/>
              <w:rPr>
                <w:rFonts w:ascii="標楷體" w:eastAsia="標楷體" w:hAnsi="標楷體"/>
                <w:bCs/>
                <w:sz w:val="28"/>
                <w:szCs w:val="24"/>
              </w:rPr>
            </w:pPr>
            <w:r>
              <w:rPr>
                <w:rFonts w:ascii="標楷體" w:eastAsia="標楷體" w:hAnsi="標楷體"/>
                <w:bCs/>
                <w:sz w:val="28"/>
                <w:szCs w:val="24"/>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both"/>
              <w:rPr>
                <w:rFonts w:ascii="標楷體" w:eastAsia="標楷體" w:hAnsi="標楷體"/>
                <w:bCs/>
                <w:sz w:val="28"/>
                <w:szCs w:val="24"/>
              </w:rPr>
            </w:pPr>
            <w:r>
              <w:rPr>
                <w:rFonts w:ascii="標楷體" w:eastAsia="標楷體" w:hAnsi="標楷體"/>
                <w:bCs/>
                <w:sz w:val="28"/>
                <w:szCs w:val="24"/>
              </w:rPr>
              <w:t>如何利用公教人員身分驗證與現行人事業務整合之作法建議</w:t>
            </w:r>
          </w:p>
          <w:p w:rsidR="009A3ED0" w:rsidRDefault="009A3ED0">
            <w:pPr>
              <w:pStyle w:val="Textbody"/>
              <w:spacing w:line="300" w:lineRule="exact"/>
              <w:jc w:val="both"/>
              <w:rPr>
                <w:rFonts w:ascii="標楷體" w:eastAsia="標楷體" w:hAnsi="標楷體"/>
                <w:bCs/>
                <w:sz w:val="28"/>
                <w:szCs w:val="24"/>
              </w:rPr>
            </w:pPr>
          </w:p>
        </w:tc>
        <w:tc>
          <w:tcPr>
            <w:tcW w:w="637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A3ED0" w:rsidRDefault="0003434D">
            <w:pPr>
              <w:pStyle w:val="a6"/>
              <w:numPr>
                <w:ilvl w:val="0"/>
                <w:numId w:val="4"/>
              </w:numPr>
              <w:snapToGrid w:val="0"/>
              <w:spacing w:line="340" w:lineRule="exact"/>
              <w:ind w:left="531" w:hanging="531"/>
              <w:jc w:val="both"/>
              <w:rPr>
                <w:rFonts w:ascii="標楷體" w:eastAsia="標楷體" w:hAnsi="標楷體"/>
                <w:bCs/>
                <w:color w:val="000000"/>
                <w:sz w:val="26"/>
                <w:szCs w:val="26"/>
              </w:rPr>
            </w:pPr>
            <w:r>
              <w:rPr>
                <w:rFonts w:ascii="標楷體" w:eastAsia="標楷體" w:hAnsi="標楷體"/>
                <w:bCs/>
                <w:color w:val="000000"/>
                <w:sz w:val="26"/>
                <w:szCs w:val="26"/>
              </w:rPr>
              <w:t>公務人力資料庫已有詳實現職公教人員資料，相關資料並已在實務上運用於任免、獎懲令函、考績等之人事業務。人事作業全面電子化後，公務人力資料庫之資料已於符合法規情況下，多次配合各機關需求進行公教人員身分之驗證，例如各選舉委員會查對罷免提議人名冊內提議人是否為公務人員、各戶政事務所查對失蹤人口是否領有公教人員固定性退撫給與等。</w:t>
            </w:r>
          </w:p>
          <w:p w:rsidR="009A3ED0" w:rsidRDefault="0003434D">
            <w:pPr>
              <w:pStyle w:val="a6"/>
              <w:numPr>
                <w:ilvl w:val="0"/>
                <w:numId w:val="4"/>
              </w:numPr>
              <w:snapToGrid w:val="0"/>
              <w:spacing w:line="340" w:lineRule="exact"/>
              <w:ind w:left="531" w:hanging="531"/>
              <w:jc w:val="both"/>
              <w:rPr>
                <w:rFonts w:ascii="標楷體" w:eastAsia="標楷體" w:hAnsi="標楷體"/>
                <w:bCs/>
                <w:color w:val="000000"/>
                <w:sz w:val="26"/>
                <w:szCs w:val="26"/>
              </w:rPr>
            </w:pPr>
            <w:r>
              <w:rPr>
                <w:rFonts w:ascii="標楷體" w:eastAsia="標楷體" w:hAnsi="標楷體"/>
                <w:bCs/>
                <w:color w:val="000000"/>
                <w:sz w:val="26"/>
                <w:szCs w:val="26"/>
              </w:rPr>
              <w:t>為提升上述公教人員身分驗證效率，改善公文往返之行政作業時間，本總處將建置公教人員身分驗證平台，採線上申請、審核、查對驗證等之數位自動化流程，並可彙整建立相同類型驗證機制及其法令依據，以利掌握</w:t>
            </w:r>
            <w:r>
              <w:rPr>
                <w:rFonts w:ascii="標楷體" w:eastAsia="標楷體" w:hAnsi="標楷體"/>
                <w:bCs/>
                <w:color w:val="000000"/>
                <w:sz w:val="26"/>
                <w:szCs w:val="26"/>
              </w:rPr>
              <w:t>申請案件之進度及驗證管理系統化。</w:t>
            </w:r>
          </w:p>
          <w:p w:rsidR="009A3ED0" w:rsidRDefault="0003434D">
            <w:pPr>
              <w:pStyle w:val="a6"/>
              <w:numPr>
                <w:ilvl w:val="0"/>
                <w:numId w:val="4"/>
              </w:numPr>
              <w:snapToGrid w:val="0"/>
              <w:spacing w:line="340" w:lineRule="exact"/>
              <w:ind w:left="531" w:hanging="531"/>
              <w:jc w:val="both"/>
              <w:rPr>
                <w:rFonts w:ascii="標楷體" w:eastAsia="標楷體" w:hAnsi="標楷體"/>
                <w:bCs/>
                <w:color w:val="000000"/>
                <w:sz w:val="26"/>
                <w:szCs w:val="26"/>
              </w:rPr>
            </w:pPr>
            <w:r>
              <w:rPr>
                <w:rFonts w:ascii="標楷體" w:eastAsia="標楷體" w:hAnsi="標楷體"/>
                <w:bCs/>
                <w:color w:val="000000"/>
                <w:sz w:val="26"/>
                <w:szCs w:val="26"/>
              </w:rPr>
              <w:t>為使公教人員身分驗證平台之服務層面及效益最大化，並達成人事作業全面電子化之目標，期望藉由本研究集思廣益，提出各種不同人事業務流程可與該平台或公教人員身分驗證機制整合之處。</w:t>
            </w:r>
          </w:p>
        </w:tc>
      </w:tr>
      <w:tr w:rsidR="009A3ED0">
        <w:tblPrEx>
          <w:tblCellMar>
            <w:top w:w="0" w:type="dxa"/>
            <w:bottom w:w="0" w:type="dxa"/>
          </w:tblCellMar>
        </w:tblPrEx>
        <w:trPr>
          <w:trHeight w:val="462"/>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center"/>
              <w:rPr>
                <w:rFonts w:ascii="標楷體" w:eastAsia="標楷體" w:hAnsi="標楷體"/>
                <w:bCs/>
                <w:sz w:val="28"/>
                <w:szCs w:val="24"/>
              </w:rPr>
            </w:pPr>
            <w:r>
              <w:rPr>
                <w:rFonts w:ascii="標楷體" w:eastAsia="標楷體" w:hAnsi="標楷體"/>
                <w:bCs/>
                <w:sz w:val="28"/>
                <w:szCs w:val="24"/>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both"/>
              <w:rPr>
                <w:rFonts w:ascii="標楷體" w:eastAsia="標楷體" w:hAnsi="標楷體"/>
                <w:bCs/>
                <w:sz w:val="28"/>
                <w:szCs w:val="24"/>
              </w:rPr>
            </w:pPr>
            <w:r>
              <w:rPr>
                <w:rFonts w:ascii="標楷體" w:eastAsia="標楷體" w:hAnsi="標楷體"/>
                <w:bCs/>
                <w:sz w:val="28"/>
                <w:szCs w:val="24"/>
              </w:rPr>
              <w:t>如何減少獎懲決定成為保障復審的作法建議</w:t>
            </w:r>
          </w:p>
          <w:p w:rsidR="009A3ED0" w:rsidRDefault="0003434D">
            <w:pPr>
              <w:pStyle w:val="Textbody"/>
              <w:spacing w:line="300" w:lineRule="exact"/>
              <w:jc w:val="both"/>
            </w:pPr>
            <w:r>
              <w:rPr>
                <w:rFonts w:ascii="標楷體" w:eastAsia="標楷體" w:hAnsi="標楷體"/>
                <w:bCs/>
                <w:szCs w:val="26"/>
                <w:shd w:val="clear" w:color="auto" w:fill="CCCCCC"/>
              </w:rPr>
              <w:t>（研究方法須納入意見調查並對調查結果進行量化分析）</w:t>
            </w:r>
          </w:p>
          <w:p w:rsidR="009A3ED0" w:rsidRDefault="009A3ED0">
            <w:pPr>
              <w:pStyle w:val="Textbody"/>
              <w:spacing w:line="300" w:lineRule="exact"/>
              <w:jc w:val="both"/>
              <w:rPr>
                <w:rFonts w:ascii="標楷體" w:eastAsia="標楷體" w:hAnsi="標楷體"/>
                <w:bCs/>
                <w:sz w:val="28"/>
                <w:szCs w:val="24"/>
              </w:rPr>
            </w:pPr>
          </w:p>
        </w:tc>
        <w:tc>
          <w:tcPr>
            <w:tcW w:w="637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A3ED0" w:rsidRDefault="0003434D">
            <w:pPr>
              <w:pStyle w:val="a6"/>
              <w:numPr>
                <w:ilvl w:val="0"/>
                <w:numId w:val="5"/>
              </w:numPr>
              <w:snapToGrid w:val="0"/>
              <w:spacing w:line="340" w:lineRule="exact"/>
              <w:ind w:left="531" w:hanging="531"/>
              <w:jc w:val="both"/>
              <w:rPr>
                <w:rFonts w:ascii="標楷體" w:eastAsia="標楷體" w:hAnsi="標楷體"/>
                <w:sz w:val="26"/>
                <w:szCs w:val="26"/>
                <w:lang w:eastAsia="zh-HK"/>
              </w:rPr>
            </w:pPr>
            <w:r>
              <w:rPr>
                <w:rFonts w:ascii="標楷體" w:eastAsia="標楷體" w:hAnsi="標楷體"/>
                <w:sz w:val="26"/>
                <w:szCs w:val="26"/>
                <w:lang w:eastAsia="zh-HK"/>
              </w:rPr>
              <w:t>司法院釋字第</w:t>
            </w:r>
            <w:r>
              <w:rPr>
                <w:rFonts w:ascii="標楷體" w:eastAsia="標楷體" w:hAnsi="標楷體"/>
                <w:sz w:val="26"/>
                <w:szCs w:val="26"/>
                <w:lang w:eastAsia="zh-HK"/>
              </w:rPr>
              <w:t>785</w:t>
            </w:r>
            <w:r>
              <w:rPr>
                <w:rFonts w:ascii="標楷體" w:eastAsia="標楷體" w:hAnsi="標楷體"/>
                <w:sz w:val="26"/>
                <w:szCs w:val="26"/>
                <w:lang w:eastAsia="zh-HK"/>
              </w:rPr>
              <w:t>號解釋揭示公務人員訴訟權之保障後，公務人員保障暨培訓委員會依其意旨，檢討並調整公務人員保障法所定復審及申訴、再申訴救濟範圍，其中平時考核敘獎、平時考核懲處等</w:t>
            </w:r>
            <w:r>
              <w:rPr>
                <w:rFonts w:ascii="標楷體" w:eastAsia="標楷體" w:hAnsi="標楷體"/>
                <w:sz w:val="26"/>
                <w:szCs w:val="26"/>
                <w:lang w:eastAsia="zh-HK"/>
              </w:rPr>
              <w:t>10</w:t>
            </w:r>
            <w:r>
              <w:rPr>
                <w:rFonts w:ascii="標楷體" w:eastAsia="標楷體" w:hAnsi="標楷體"/>
                <w:sz w:val="26"/>
                <w:szCs w:val="26"/>
                <w:lang w:eastAsia="zh-HK"/>
              </w:rPr>
              <w:t>項人事行政行為，由原管理措施改認行政處分。</w:t>
            </w:r>
          </w:p>
          <w:p w:rsidR="009A3ED0" w:rsidRDefault="0003434D">
            <w:pPr>
              <w:pStyle w:val="a6"/>
              <w:numPr>
                <w:ilvl w:val="0"/>
                <w:numId w:val="5"/>
              </w:numPr>
              <w:snapToGrid w:val="0"/>
              <w:spacing w:line="340" w:lineRule="exact"/>
              <w:ind w:left="531" w:hanging="531"/>
              <w:jc w:val="both"/>
              <w:rPr>
                <w:rFonts w:ascii="標楷體" w:eastAsia="標楷體" w:hAnsi="標楷體"/>
                <w:sz w:val="26"/>
                <w:szCs w:val="26"/>
                <w:lang w:eastAsia="zh-HK"/>
              </w:rPr>
            </w:pPr>
            <w:r>
              <w:rPr>
                <w:rFonts w:ascii="標楷體" w:eastAsia="標楷體" w:hAnsi="標楷體"/>
                <w:sz w:val="26"/>
                <w:szCs w:val="26"/>
                <w:lang w:eastAsia="zh-HK"/>
              </w:rPr>
              <w:t>考量上述平時考核敘獎、懲處態樣及件數較多，</w:t>
            </w:r>
            <w:r>
              <w:rPr>
                <w:rFonts w:ascii="標楷體" w:eastAsia="標楷體" w:hAnsi="標楷體"/>
                <w:sz w:val="26"/>
                <w:szCs w:val="26"/>
                <w:lang w:eastAsia="zh-HK"/>
              </w:rPr>
              <w:lastRenderedPageBreak/>
              <w:t>如何就實務運作角度出發，從制度面、流程面等調整現行作為（例如研議未來獎懲案件中，主管或考績委員會之角色或應有作為），有效減少獎懲決定成為復審標的，減輕各機關人事人員負擔，實值得集思廣益，並研究提出具體作法及建議、改進效益等。</w:t>
            </w:r>
          </w:p>
        </w:tc>
      </w:tr>
      <w:tr w:rsidR="009A3ED0">
        <w:tblPrEx>
          <w:tblCellMar>
            <w:top w:w="0" w:type="dxa"/>
            <w:bottom w:w="0" w:type="dxa"/>
          </w:tblCellMar>
        </w:tblPrEx>
        <w:trPr>
          <w:trHeight w:val="4399"/>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center"/>
              <w:rPr>
                <w:rFonts w:ascii="標楷體" w:eastAsia="標楷體" w:hAnsi="標楷體"/>
                <w:bCs/>
                <w:sz w:val="28"/>
                <w:szCs w:val="24"/>
              </w:rPr>
            </w:pPr>
            <w:r>
              <w:rPr>
                <w:rFonts w:ascii="標楷體" w:eastAsia="標楷體" w:hAnsi="標楷體"/>
                <w:bCs/>
                <w:sz w:val="28"/>
                <w:szCs w:val="24"/>
              </w:rPr>
              <w:lastRenderedPageBreak/>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both"/>
              <w:rPr>
                <w:rFonts w:ascii="標楷體" w:eastAsia="標楷體" w:hAnsi="標楷體"/>
                <w:bCs/>
                <w:sz w:val="28"/>
                <w:szCs w:val="24"/>
              </w:rPr>
            </w:pPr>
            <w:r>
              <w:rPr>
                <w:rFonts w:ascii="標楷體" w:eastAsia="標楷體" w:hAnsi="標楷體"/>
                <w:bCs/>
                <w:sz w:val="28"/>
                <w:szCs w:val="24"/>
              </w:rPr>
              <w:t>公務人員考試（含地方特考）考試錄取人員限制轉調制度應否鬆綁的作法建議</w:t>
            </w:r>
          </w:p>
          <w:p w:rsidR="009A3ED0" w:rsidRDefault="0003434D">
            <w:pPr>
              <w:pStyle w:val="Textbody"/>
              <w:spacing w:line="300" w:lineRule="exact"/>
              <w:jc w:val="both"/>
              <w:rPr>
                <w:rFonts w:ascii="標楷體" w:eastAsia="標楷體" w:hAnsi="標楷體"/>
                <w:bCs/>
                <w:szCs w:val="26"/>
                <w:shd w:val="clear" w:color="auto" w:fill="CCCCCC"/>
              </w:rPr>
            </w:pPr>
            <w:r>
              <w:rPr>
                <w:rFonts w:ascii="標楷體" w:eastAsia="標楷體" w:hAnsi="標楷體"/>
                <w:bCs/>
                <w:szCs w:val="26"/>
                <w:shd w:val="clear" w:color="auto" w:fill="CCCCCC"/>
              </w:rPr>
              <w:t>（</w:t>
            </w:r>
            <w:r>
              <w:rPr>
                <w:rFonts w:ascii="標楷體" w:eastAsia="標楷體" w:hAnsi="標楷體"/>
                <w:bCs/>
                <w:szCs w:val="26"/>
                <w:shd w:val="clear" w:color="auto" w:fill="CCCCCC"/>
              </w:rPr>
              <w:t>1.</w:t>
            </w:r>
            <w:r>
              <w:rPr>
                <w:rFonts w:ascii="標楷體" w:eastAsia="標楷體" w:hAnsi="標楷體"/>
                <w:bCs/>
                <w:szCs w:val="26"/>
                <w:shd w:val="clear" w:color="auto" w:fill="CCCCCC"/>
              </w:rPr>
              <w:t>研究方法須納入意見調查</w:t>
            </w:r>
            <w:bookmarkStart w:id="1" w:name="_Hlk69112615"/>
            <w:r>
              <w:rPr>
                <w:rFonts w:ascii="標楷體" w:eastAsia="標楷體" w:hAnsi="標楷體"/>
                <w:bCs/>
                <w:szCs w:val="26"/>
                <w:shd w:val="clear" w:color="auto" w:fill="CCCCCC"/>
              </w:rPr>
              <w:t>並對調查結果進行量化分析</w:t>
            </w:r>
            <w:bookmarkStart w:id="2" w:name="_Hlk68784417"/>
            <w:bookmarkEnd w:id="1"/>
          </w:p>
          <w:p w:rsidR="009A3ED0" w:rsidRDefault="0003434D">
            <w:pPr>
              <w:pStyle w:val="Textbody"/>
              <w:spacing w:line="300" w:lineRule="exact"/>
              <w:jc w:val="both"/>
            </w:pPr>
            <w:r>
              <w:rPr>
                <w:rFonts w:ascii="標楷體" w:eastAsia="標楷體" w:hAnsi="標楷體"/>
                <w:bCs/>
                <w:szCs w:val="26"/>
                <w:shd w:val="clear" w:color="auto" w:fill="CCCCCC"/>
              </w:rPr>
              <w:t>2.</w:t>
            </w:r>
            <w:r>
              <w:rPr>
                <w:rFonts w:ascii="標楷體" w:eastAsia="標楷體" w:hAnsi="標楷體"/>
                <w:bCs/>
                <w:szCs w:val="28"/>
                <w:shd w:val="clear" w:color="auto" w:fill="CCCCCC"/>
              </w:rPr>
              <w:t>可開放本總處資料庫數據</w:t>
            </w:r>
            <w:bookmarkEnd w:id="2"/>
            <w:r>
              <w:rPr>
                <w:rFonts w:ascii="標楷體" w:eastAsia="標楷體" w:hAnsi="標楷體"/>
                <w:bCs/>
                <w:szCs w:val="26"/>
                <w:shd w:val="clear" w:color="auto" w:fill="CCCCCC"/>
              </w:rPr>
              <w:t>）</w:t>
            </w:r>
          </w:p>
          <w:p w:rsidR="009A3ED0" w:rsidRDefault="009A3ED0">
            <w:pPr>
              <w:pStyle w:val="Textbody"/>
              <w:spacing w:line="300" w:lineRule="exact"/>
              <w:jc w:val="both"/>
              <w:rPr>
                <w:rFonts w:ascii="標楷體" w:eastAsia="標楷體" w:hAnsi="標楷體"/>
                <w:bCs/>
                <w:sz w:val="28"/>
                <w:szCs w:val="24"/>
              </w:rPr>
            </w:pPr>
          </w:p>
        </w:tc>
        <w:tc>
          <w:tcPr>
            <w:tcW w:w="637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A3ED0" w:rsidRDefault="0003434D">
            <w:pPr>
              <w:pStyle w:val="a6"/>
              <w:numPr>
                <w:ilvl w:val="0"/>
                <w:numId w:val="6"/>
              </w:numPr>
              <w:snapToGrid w:val="0"/>
              <w:spacing w:line="340" w:lineRule="exact"/>
              <w:ind w:left="531" w:hanging="531"/>
              <w:jc w:val="both"/>
              <w:rPr>
                <w:rFonts w:ascii="標楷體" w:eastAsia="標楷體" w:hAnsi="標楷體"/>
                <w:sz w:val="26"/>
                <w:szCs w:val="26"/>
              </w:rPr>
            </w:pPr>
            <w:r>
              <w:rPr>
                <w:rFonts w:ascii="標楷體" w:eastAsia="標楷體" w:hAnsi="標楷體"/>
                <w:sz w:val="26"/>
                <w:szCs w:val="26"/>
              </w:rPr>
              <w:t>為回應外界鬆綁公務人員考試法限制轉調規定之建議，考試院刻正研議修正相關法規。</w:t>
            </w:r>
          </w:p>
          <w:p w:rsidR="009A3ED0" w:rsidRDefault="0003434D">
            <w:pPr>
              <w:pStyle w:val="a6"/>
              <w:numPr>
                <w:ilvl w:val="0"/>
                <w:numId w:val="6"/>
              </w:numPr>
              <w:snapToGrid w:val="0"/>
              <w:spacing w:line="340" w:lineRule="exact"/>
              <w:ind w:left="531" w:hanging="531"/>
              <w:jc w:val="both"/>
              <w:rPr>
                <w:rFonts w:ascii="標楷體" w:eastAsia="標楷體" w:hAnsi="標楷體"/>
                <w:sz w:val="26"/>
                <w:szCs w:val="26"/>
              </w:rPr>
            </w:pPr>
            <w:r>
              <w:rPr>
                <w:rFonts w:ascii="標楷體" w:eastAsia="標楷體" w:hAnsi="標楷體"/>
                <w:sz w:val="26"/>
                <w:szCs w:val="26"/>
              </w:rPr>
              <w:t>為兼顧機關用人需求與錄取人員權益之衡平，重新檢視應否鬆綁限制轉調制度，爰請就下列研究問題進行分析，並研提政策建議及改進效益等：</w:t>
            </w:r>
          </w:p>
          <w:p w:rsidR="009A3ED0" w:rsidRDefault="0003434D">
            <w:pPr>
              <w:pStyle w:val="a6"/>
              <w:numPr>
                <w:ilvl w:val="0"/>
                <w:numId w:val="7"/>
              </w:numPr>
              <w:snapToGrid w:val="0"/>
              <w:spacing w:line="340" w:lineRule="exact"/>
              <w:ind w:left="1025" w:hanging="709"/>
              <w:jc w:val="both"/>
              <w:rPr>
                <w:rFonts w:ascii="標楷體" w:eastAsia="標楷體" w:hAnsi="標楷體"/>
                <w:sz w:val="26"/>
                <w:szCs w:val="26"/>
              </w:rPr>
            </w:pPr>
            <w:r>
              <w:rPr>
                <w:rFonts w:ascii="標楷體" w:eastAsia="標楷體" w:hAnsi="標楷體"/>
                <w:sz w:val="26"/>
                <w:szCs w:val="26"/>
              </w:rPr>
              <w:t>機關用人需求面向：限制轉調年限是否需要調整？限制轉調之機關範圍是否得予放寬？各項考試是否須分設不同之限制轉調年限？</w:t>
            </w:r>
          </w:p>
          <w:p w:rsidR="009A3ED0" w:rsidRDefault="0003434D">
            <w:pPr>
              <w:pStyle w:val="a6"/>
              <w:numPr>
                <w:ilvl w:val="0"/>
                <w:numId w:val="7"/>
              </w:numPr>
              <w:snapToGrid w:val="0"/>
              <w:spacing w:line="340" w:lineRule="exact"/>
              <w:ind w:left="1025" w:hanging="709"/>
              <w:jc w:val="both"/>
              <w:rPr>
                <w:rFonts w:ascii="標楷體" w:eastAsia="標楷體" w:hAnsi="標楷體"/>
                <w:sz w:val="26"/>
                <w:szCs w:val="26"/>
              </w:rPr>
            </w:pPr>
            <w:r>
              <w:rPr>
                <w:rFonts w:ascii="標楷體" w:eastAsia="標楷體" w:hAnsi="標楷體"/>
                <w:sz w:val="26"/>
                <w:szCs w:val="26"/>
              </w:rPr>
              <w:t>錄取人員權益面向：如就特殊事由（如</w:t>
            </w:r>
            <w:r>
              <w:rPr>
                <w:rFonts w:ascii="標楷體" w:eastAsia="標楷體" w:hAnsi="標楷體"/>
                <w:sz w:val="26"/>
                <w:szCs w:val="26"/>
              </w:rPr>
              <w:t>重病、父母子女重症等）放寬限制轉調年限規定是否妥適？又就錄取人員之特殊事由申請放寬轉調年限，如何建立確實之查核機制與配套措施？</w:t>
            </w:r>
          </w:p>
        </w:tc>
      </w:tr>
      <w:tr w:rsidR="009A3ED0">
        <w:tblPrEx>
          <w:tblCellMar>
            <w:top w:w="0" w:type="dxa"/>
            <w:bottom w:w="0" w:type="dxa"/>
          </w:tblCellMar>
        </w:tblPrEx>
        <w:trPr>
          <w:trHeight w:val="726"/>
          <w:jc w:val="center"/>
        </w:trPr>
        <w:tc>
          <w:tcPr>
            <w:tcW w:w="55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center"/>
              <w:rPr>
                <w:rFonts w:ascii="標楷體" w:eastAsia="標楷體" w:hAnsi="標楷體"/>
                <w:bCs/>
                <w:sz w:val="28"/>
                <w:szCs w:val="24"/>
              </w:rPr>
            </w:pPr>
            <w:r>
              <w:rPr>
                <w:rFonts w:ascii="標楷體" w:eastAsia="標楷體" w:hAnsi="標楷體"/>
                <w:bCs/>
                <w:sz w:val="28"/>
                <w:szCs w:val="24"/>
              </w:rPr>
              <w:t>8</w:t>
            </w:r>
          </w:p>
        </w:tc>
        <w:tc>
          <w:tcPr>
            <w:tcW w:w="269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9A3ED0" w:rsidRDefault="0003434D">
            <w:pPr>
              <w:pStyle w:val="Textbody"/>
              <w:spacing w:line="300" w:lineRule="exact"/>
              <w:jc w:val="both"/>
              <w:rPr>
                <w:rFonts w:ascii="標楷體" w:eastAsia="標楷體" w:hAnsi="標楷體"/>
                <w:bCs/>
                <w:sz w:val="28"/>
                <w:szCs w:val="24"/>
              </w:rPr>
            </w:pPr>
            <w:r>
              <w:rPr>
                <w:rFonts w:ascii="標楷體" w:eastAsia="標楷體" w:hAnsi="標楷體"/>
                <w:bCs/>
                <w:sz w:val="28"/>
                <w:szCs w:val="24"/>
              </w:rPr>
              <w:t>自訂研究主題</w:t>
            </w:r>
          </w:p>
        </w:tc>
        <w:tc>
          <w:tcPr>
            <w:tcW w:w="637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9A3ED0" w:rsidRDefault="0003434D">
            <w:pPr>
              <w:pStyle w:val="a6"/>
              <w:numPr>
                <w:ilvl w:val="0"/>
                <w:numId w:val="8"/>
              </w:numPr>
              <w:snapToGrid w:val="0"/>
              <w:spacing w:line="340" w:lineRule="exact"/>
              <w:ind w:left="531" w:hanging="531"/>
              <w:jc w:val="both"/>
              <w:rPr>
                <w:rFonts w:ascii="標楷體" w:eastAsia="標楷體" w:hAnsi="標楷體"/>
                <w:sz w:val="26"/>
                <w:szCs w:val="26"/>
              </w:rPr>
            </w:pPr>
            <w:bookmarkStart w:id="3" w:name="_Hlk68869413"/>
            <w:r>
              <w:rPr>
                <w:rFonts w:ascii="標楷體" w:eastAsia="標楷體" w:hAnsi="標楷體"/>
                <w:sz w:val="26"/>
                <w:szCs w:val="26"/>
              </w:rPr>
              <w:t>研究主題需具體聚焦於實務需求，討論「特定具體議題」</w:t>
            </w:r>
            <w:r>
              <w:rPr>
                <w:rFonts w:ascii="標楷體" w:eastAsia="標楷體" w:hAnsi="標楷體"/>
                <w:sz w:val="26"/>
                <w:szCs w:val="26"/>
              </w:rPr>
              <w:t>(</w:t>
            </w:r>
            <w:r>
              <w:rPr>
                <w:rFonts w:ascii="標楷體" w:eastAsia="標楷體" w:hAnsi="標楷體"/>
                <w:sz w:val="26"/>
                <w:szCs w:val="26"/>
              </w:rPr>
              <w:t>即針對特定業務區塊於實務操作時可予精進之研究</w:t>
            </w:r>
            <w:r>
              <w:rPr>
                <w:rFonts w:ascii="標楷體" w:eastAsia="標楷體" w:hAnsi="標楷體"/>
                <w:sz w:val="26"/>
                <w:szCs w:val="26"/>
              </w:rPr>
              <w:t>)</w:t>
            </w:r>
            <w:bookmarkEnd w:id="3"/>
            <w:r>
              <w:rPr>
                <w:rFonts w:ascii="標楷體" w:eastAsia="標楷體" w:hAnsi="標楷體"/>
                <w:sz w:val="26"/>
                <w:szCs w:val="26"/>
              </w:rPr>
              <w:t>。</w:t>
            </w:r>
          </w:p>
          <w:p w:rsidR="009A3ED0" w:rsidRDefault="0003434D">
            <w:pPr>
              <w:pStyle w:val="a6"/>
              <w:numPr>
                <w:ilvl w:val="0"/>
                <w:numId w:val="8"/>
              </w:numPr>
              <w:snapToGrid w:val="0"/>
              <w:spacing w:line="340" w:lineRule="exact"/>
              <w:ind w:left="531" w:hanging="531"/>
              <w:jc w:val="both"/>
              <w:rPr>
                <w:rFonts w:ascii="標楷體" w:eastAsia="標楷體" w:hAnsi="標楷體"/>
                <w:sz w:val="26"/>
                <w:szCs w:val="26"/>
              </w:rPr>
            </w:pPr>
            <w:r>
              <w:rPr>
                <w:rFonts w:ascii="標楷體" w:eastAsia="標楷體" w:hAnsi="標楷體"/>
                <w:sz w:val="26"/>
                <w:szCs w:val="26"/>
              </w:rPr>
              <w:t>選擇自訂研究主題時，請於精進人事業務建議獎勵申請書之「研究主題」欄位，特別註明為「自訂研究主題」，</w:t>
            </w:r>
            <w:bookmarkStart w:id="4" w:name="_Hlk68869575"/>
            <w:r>
              <w:rPr>
                <w:rFonts w:ascii="標楷體" w:eastAsia="標楷體" w:hAnsi="標楷體"/>
                <w:sz w:val="26"/>
                <w:szCs w:val="26"/>
              </w:rPr>
              <w:t>並請於作品內容增列</w:t>
            </w:r>
            <w:bookmarkEnd w:id="4"/>
            <w:r>
              <w:rPr>
                <w:rFonts w:ascii="標楷體" w:eastAsia="標楷體" w:hAnsi="標楷體"/>
                <w:sz w:val="26"/>
                <w:szCs w:val="26"/>
              </w:rPr>
              <w:t>以下事項：</w:t>
            </w:r>
          </w:p>
          <w:p w:rsidR="009A3ED0" w:rsidRDefault="0003434D">
            <w:pPr>
              <w:pStyle w:val="a6"/>
              <w:numPr>
                <w:ilvl w:val="0"/>
                <w:numId w:val="9"/>
              </w:numPr>
              <w:snapToGrid w:val="0"/>
              <w:spacing w:line="340" w:lineRule="exact"/>
              <w:ind w:left="1025" w:hanging="709"/>
              <w:jc w:val="both"/>
              <w:rPr>
                <w:rFonts w:ascii="標楷體" w:eastAsia="標楷體" w:hAnsi="標楷體"/>
                <w:sz w:val="26"/>
                <w:szCs w:val="26"/>
              </w:rPr>
            </w:pPr>
            <w:r>
              <w:rPr>
                <w:rFonts w:ascii="標楷體" w:eastAsia="標楷體" w:hAnsi="標楷體"/>
                <w:sz w:val="26"/>
                <w:szCs w:val="26"/>
              </w:rPr>
              <w:t>於「問題分析」章節，</w:t>
            </w:r>
            <w:bookmarkStart w:id="5" w:name="_Hlk68869601"/>
            <w:r>
              <w:rPr>
                <w:rFonts w:ascii="標楷體" w:eastAsia="標楷體" w:hAnsi="標楷體"/>
                <w:sz w:val="26"/>
                <w:szCs w:val="26"/>
              </w:rPr>
              <w:t>明確說明該主題設定業務之問題所在</w:t>
            </w:r>
            <w:bookmarkEnd w:id="5"/>
            <w:r>
              <w:rPr>
                <w:rFonts w:ascii="標楷體" w:eastAsia="標楷體" w:hAnsi="標楷體"/>
                <w:sz w:val="26"/>
                <w:szCs w:val="26"/>
              </w:rPr>
              <w:t>。</w:t>
            </w:r>
          </w:p>
          <w:p w:rsidR="009A3ED0" w:rsidRDefault="0003434D">
            <w:pPr>
              <w:pStyle w:val="a6"/>
              <w:numPr>
                <w:ilvl w:val="0"/>
                <w:numId w:val="9"/>
              </w:numPr>
              <w:snapToGrid w:val="0"/>
              <w:spacing w:line="340" w:lineRule="exact"/>
              <w:ind w:left="1025" w:hanging="709"/>
              <w:jc w:val="both"/>
              <w:rPr>
                <w:rFonts w:ascii="標楷體" w:eastAsia="標楷體" w:hAnsi="標楷體"/>
                <w:sz w:val="26"/>
                <w:szCs w:val="26"/>
              </w:rPr>
            </w:pPr>
            <w:r>
              <w:rPr>
                <w:rFonts w:ascii="標楷體" w:eastAsia="標楷體" w:hAnsi="標楷體"/>
                <w:sz w:val="26"/>
                <w:szCs w:val="26"/>
              </w:rPr>
              <w:t>於「具體建議及做法」章節，</w:t>
            </w:r>
            <w:bookmarkStart w:id="6" w:name="_Hlk68869625"/>
            <w:r>
              <w:rPr>
                <w:rFonts w:ascii="標楷體" w:eastAsia="標楷體" w:hAnsi="標楷體"/>
                <w:sz w:val="26"/>
                <w:szCs w:val="26"/>
              </w:rPr>
              <w:t>加列改進效益說明</w:t>
            </w:r>
            <w:bookmarkEnd w:id="6"/>
            <w:r>
              <w:rPr>
                <w:rFonts w:ascii="標楷體" w:eastAsia="標楷體" w:hAnsi="標楷體"/>
                <w:sz w:val="26"/>
                <w:szCs w:val="26"/>
              </w:rPr>
              <w:t>。</w:t>
            </w:r>
          </w:p>
          <w:p w:rsidR="009A3ED0" w:rsidRDefault="0003434D">
            <w:pPr>
              <w:pStyle w:val="a6"/>
              <w:numPr>
                <w:ilvl w:val="0"/>
                <w:numId w:val="8"/>
              </w:numPr>
              <w:snapToGrid w:val="0"/>
              <w:spacing w:line="340" w:lineRule="exact"/>
              <w:ind w:left="531" w:hanging="531"/>
              <w:jc w:val="both"/>
              <w:rPr>
                <w:rFonts w:ascii="標楷體" w:eastAsia="標楷體" w:hAnsi="標楷體"/>
                <w:sz w:val="26"/>
                <w:szCs w:val="26"/>
              </w:rPr>
            </w:pPr>
            <w:r>
              <w:rPr>
                <w:rFonts w:ascii="標楷體" w:eastAsia="標楷體" w:hAnsi="標楷體"/>
                <w:sz w:val="26"/>
                <w:szCs w:val="26"/>
              </w:rPr>
              <w:t>由本總處初步審查申請作品撰擬格式，不符規定者，將不予列入評審範圍。</w:t>
            </w:r>
          </w:p>
        </w:tc>
      </w:tr>
    </w:tbl>
    <w:p w:rsidR="009A3ED0" w:rsidRDefault="0003434D">
      <w:pPr>
        <w:pStyle w:val="Textbody"/>
        <w:spacing w:line="360" w:lineRule="exact"/>
        <w:ind w:left="720" w:hanging="720"/>
        <w:jc w:val="both"/>
        <w:rPr>
          <w:rFonts w:ascii="標楷體" w:eastAsia="標楷體" w:hAnsi="標楷體"/>
          <w:szCs w:val="28"/>
        </w:rPr>
      </w:pPr>
      <w:r>
        <w:rPr>
          <w:rFonts w:ascii="標楷體" w:eastAsia="標楷體" w:hAnsi="標楷體"/>
          <w:szCs w:val="28"/>
        </w:rPr>
        <w:t>備註：</w:t>
      </w:r>
    </w:p>
    <w:p w:rsidR="009A3ED0" w:rsidRDefault="0003434D">
      <w:pPr>
        <w:pStyle w:val="a6"/>
        <w:numPr>
          <w:ilvl w:val="0"/>
          <w:numId w:val="10"/>
        </w:numPr>
        <w:spacing w:line="360" w:lineRule="exact"/>
        <w:jc w:val="both"/>
        <w:rPr>
          <w:rFonts w:ascii="標楷體" w:eastAsia="標楷體" w:hAnsi="標楷體"/>
          <w:szCs w:val="28"/>
        </w:rPr>
      </w:pPr>
      <w:r>
        <w:rPr>
          <w:rFonts w:ascii="標楷體" w:eastAsia="標楷體" w:hAnsi="標楷體"/>
          <w:szCs w:val="28"/>
        </w:rPr>
        <w:t>本表「研究方法須納入意見調查並對調查結果進行量化分析」，係指研究方法應包含政策可能適用對象之意見調查（採問卷調查或面訪方式皆可），調查結果如有相關數據須進一步進行統計分析，且須提出如何克服無意願之可行作法。</w:t>
      </w:r>
    </w:p>
    <w:p w:rsidR="009A3ED0" w:rsidRDefault="0003434D">
      <w:pPr>
        <w:pStyle w:val="a6"/>
        <w:numPr>
          <w:ilvl w:val="0"/>
          <w:numId w:val="10"/>
        </w:numPr>
        <w:spacing w:line="360" w:lineRule="exact"/>
        <w:jc w:val="both"/>
        <w:rPr>
          <w:rFonts w:ascii="標楷體" w:eastAsia="標楷體" w:hAnsi="標楷體"/>
          <w:szCs w:val="28"/>
        </w:rPr>
      </w:pPr>
      <w:r>
        <w:rPr>
          <w:rFonts w:ascii="標楷體" w:eastAsia="標楷體" w:hAnsi="標楷體"/>
          <w:szCs w:val="28"/>
        </w:rPr>
        <w:t>本表「可開放本總處資料庫數據」，係指開放研究人員申請「公教人員動態統計查詢平台」之權限，研究人員可於徵文期間內逕由人事服務網內「</w:t>
      </w:r>
      <w:r>
        <w:rPr>
          <w:rFonts w:ascii="標楷體" w:eastAsia="標楷體" w:hAnsi="標楷體"/>
          <w:szCs w:val="28"/>
        </w:rPr>
        <w:t>DSQ</w:t>
      </w:r>
      <w:r>
        <w:rPr>
          <w:rFonts w:ascii="標楷體" w:eastAsia="標楷體" w:hAnsi="標楷體"/>
          <w:szCs w:val="28"/>
        </w:rPr>
        <w:t>：公教人員動態統計查詢平台」自行產生及下載統計資料，申請方式如下</w:t>
      </w:r>
      <w:r>
        <w:rPr>
          <w:rFonts w:ascii="標楷體" w:eastAsia="標楷體" w:hAnsi="標楷體"/>
          <w:szCs w:val="28"/>
        </w:rPr>
        <w:t>(</w:t>
      </w:r>
      <w:r>
        <w:rPr>
          <w:rFonts w:ascii="標楷體" w:eastAsia="標楷體" w:hAnsi="標楷體"/>
          <w:szCs w:val="28"/>
        </w:rPr>
        <w:t>申請表如後附</w:t>
      </w:r>
      <w:r>
        <w:rPr>
          <w:rFonts w:ascii="標楷體" w:eastAsia="標楷體" w:hAnsi="標楷體"/>
          <w:szCs w:val="28"/>
        </w:rPr>
        <w:t>)</w:t>
      </w:r>
      <w:r>
        <w:rPr>
          <w:rFonts w:ascii="標楷體" w:eastAsia="標楷體" w:hAnsi="標楷體"/>
          <w:szCs w:val="28"/>
        </w:rPr>
        <w:t>：</w:t>
      </w:r>
    </w:p>
    <w:p w:rsidR="009A3ED0" w:rsidRDefault="0003434D">
      <w:pPr>
        <w:pStyle w:val="a6"/>
        <w:numPr>
          <w:ilvl w:val="0"/>
          <w:numId w:val="11"/>
        </w:numPr>
        <w:spacing w:line="360" w:lineRule="exact"/>
        <w:jc w:val="both"/>
        <w:rPr>
          <w:rFonts w:ascii="標楷體" w:eastAsia="標楷體" w:hAnsi="標楷體"/>
          <w:szCs w:val="28"/>
        </w:rPr>
      </w:pPr>
      <w:r>
        <w:rPr>
          <w:rFonts w:ascii="標楷體" w:eastAsia="標楷體" w:hAnsi="標楷體"/>
          <w:szCs w:val="28"/>
        </w:rPr>
        <w:t>於期間內將加蓋主管機關人事機構戳章之申請表傳送至本總處。</w:t>
      </w:r>
    </w:p>
    <w:p w:rsidR="009A3ED0" w:rsidRDefault="0003434D">
      <w:pPr>
        <w:pStyle w:val="a6"/>
        <w:numPr>
          <w:ilvl w:val="0"/>
          <w:numId w:val="11"/>
        </w:numPr>
        <w:spacing w:line="360" w:lineRule="exact"/>
        <w:jc w:val="both"/>
        <w:rPr>
          <w:rFonts w:ascii="標楷體" w:eastAsia="標楷體" w:hAnsi="標楷體"/>
          <w:szCs w:val="28"/>
        </w:rPr>
      </w:pPr>
      <w:bookmarkStart w:id="7" w:name="_Hlk69113623"/>
      <w:r>
        <w:rPr>
          <w:rFonts w:ascii="標楷體" w:eastAsia="標楷體" w:hAnsi="標楷體"/>
          <w:szCs w:val="28"/>
        </w:rPr>
        <w:t>由本總處確認申請資料無誤後，約需</w:t>
      </w:r>
      <w:r>
        <w:rPr>
          <w:rFonts w:ascii="標楷體" w:eastAsia="標楷體" w:hAnsi="標楷體"/>
          <w:szCs w:val="28"/>
        </w:rPr>
        <w:t>3</w:t>
      </w:r>
      <w:r>
        <w:rPr>
          <w:rFonts w:ascii="標楷體" w:eastAsia="標楷體" w:hAnsi="標楷體"/>
          <w:szCs w:val="28"/>
        </w:rPr>
        <w:t>個工作日辦理權限開通</w:t>
      </w:r>
      <w:bookmarkEnd w:id="7"/>
      <w:r>
        <w:rPr>
          <w:rFonts w:ascii="標楷體" w:eastAsia="標楷體" w:hAnsi="標楷體"/>
          <w:szCs w:val="28"/>
        </w:rPr>
        <w:t>。</w:t>
      </w:r>
    </w:p>
    <w:p w:rsidR="009A3ED0" w:rsidRDefault="009A3ED0">
      <w:pPr>
        <w:pStyle w:val="Textbody"/>
        <w:spacing w:line="500" w:lineRule="exact"/>
        <w:jc w:val="center"/>
        <w:rPr>
          <w:rFonts w:ascii="標楷體" w:eastAsia="標楷體" w:hAnsi="標楷體"/>
          <w:b/>
          <w:sz w:val="32"/>
        </w:rPr>
      </w:pPr>
    </w:p>
    <w:p w:rsidR="009A3ED0" w:rsidRDefault="0003434D">
      <w:pPr>
        <w:pStyle w:val="Textbody"/>
        <w:spacing w:line="500" w:lineRule="exact"/>
        <w:jc w:val="center"/>
        <w:rPr>
          <w:rFonts w:ascii="標楷體" w:eastAsia="標楷體" w:hAnsi="標楷體"/>
          <w:b/>
          <w:sz w:val="32"/>
        </w:rPr>
      </w:pPr>
      <w:r>
        <w:rPr>
          <w:rFonts w:ascii="標楷體" w:eastAsia="標楷體" w:hAnsi="標楷體"/>
          <w:b/>
          <w:sz w:val="32"/>
        </w:rPr>
        <w:t>110</w:t>
      </w:r>
      <w:r>
        <w:rPr>
          <w:rFonts w:ascii="標楷體" w:eastAsia="標楷體" w:hAnsi="標楷體"/>
          <w:b/>
          <w:sz w:val="32"/>
        </w:rPr>
        <w:t>年度精進人事業務建議獎勵</w:t>
      </w:r>
    </w:p>
    <w:p w:rsidR="009A3ED0" w:rsidRDefault="0003434D">
      <w:pPr>
        <w:pStyle w:val="Textbody"/>
        <w:spacing w:line="500" w:lineRule="exact"/>
        <w:jc w:val="center"/>
        <w:rPr>
          <w:rFonts w:ascii="標楷體" w:eastAsia="標楷體" w:hAnsi="標楷體"/>
          <w:b/>
          <w:sz w:val="32"/>
        </w:rPr>
      </w:pPr>
      <w:r>
        <w:rPr>
          <w:rFonts w:ascii="標楷體" w:eastAsia="標楷體" w:hAnsi="標楷體"/>
          <w:b/>
          <w:sz w:val="32"/>
        </w:rPr>
        <w:t>有關行政院人事行政總處資料庫數據申請表</w:t>
      </w:r>
    </w:p>
    <w:p w:rsidR="009A3ED0" w:rsidRDefault="009A3ED0">
      <w:pPr>
        <w:pStyle w:val="Textbody"/>
        <w:spacing w:line="500" w:lineRule="exact"/>
        <w:jc w:val="center"/>
        <w:rPr>
          <w:rFonts w:ascii="標楷體" w:eastAsia="標楷體" w:hAnsi="標楷體"/>
          <w:sz w:val="32"/>
        </w:rPr>
      </w:pPr>
    </w:p>
    <w:p w:rsidR="009A3ED0" w:rsidRDefault="0003434D">
      <w:pPr>
        <w:pStyle w:val="Textbody"/>
        <w:numPr>
          <w:ilvl w:val="0"/>
          <w:numId w:val="12"/>
        </w:numPr>
        <w:spacing w:line="500" w:lineRule="exact"/>
        <w:rPr>
          <w:rFonts w:ascii="標楷體" w:eastAsia="標楷體" w:hAnsi="標楷體"/>
          <w:sz w:val="28"/>
        </w:rPr>
      </w:pPr>
      <w:r>
        <w:rPr>
          <w:rFonts w:ascii="標楷體" w:eastAsia="標楷體" w:hAnsi="標楷體"/>
          <w:sz w:val="28"/>
        </w:rPr>
        <w:t>研究主題：公務人員考試（含地方特考）考試錄取人員限制轉調制度應否鬆綁的作法建議</w:t>
      </w:r>
    </w:p>
    <w:p w:rsidR="009A3ED0" w:rsidRDefault="0003434D">
      <w:pPr>
        <w:pStyle w:val="Textbody"/>
        <w:numPr>
          <w:ilvl w:val="0"/>
          <w:numId w:val="12"/>
        </w:numPr>
        <w:spacing w:line="500" w:lineRule="exact"/>
        <w:rPr>
          <w:rFonts w:ascii="標楷體" w:eastAsia="標楷體" w:hAnsi="標楷體"/>
          <w:sz w:val="28"/>
        </w:rPr>
      </w:pPr>
      <w:r>
        <w:rPr>
          <w:rFonts w:ascii="標楷體" w:eastAsia="標楷體" w:hAnsi="標楷體"/>
          <w:sz w:val="28"/>
        </w:rPr>
        <w:t>申請人基本資料：</w:t>
      </w:r>
    </w:p>
    <w:p w:rsidR="009A3ED0" w:rsidRDefault="0003434D">
      <w:pPr>
        <w:pStyle w:val="Textbody"/>
        <w:numPr>
          <w:ilvl w:val="0"/>
          <w:numId w:val="13"/>
        </w:numPr>
        <w:spacing w:line="500" w:lineRule="exact"/>
        <w:rPr>
          <w:rFonts w:ascii="標楷體" w:eastAsia="標楷體" w:hAnsi="標楷體"/>
          <w:sz w:val="28"/>
        </w:rPr>
      </w:pPr>
      <w:r>
        <w:rPr>
          <w:rFonts w:ascii="標楷體" w:eastAsia="標楷體" w:hAnsi="標楷體"/>
          <w:sz w:val="28"/>
        </w:rPr>
        <w:t>姓名</w:t>
      </w:r>
      <w:r>
        <w:rPr>
          <w:rFonts w:ascii="標楷體" w:eastAsia="標楷體" w:hAnsi="標楷體"/>
          <w:sz w:val="28"/>
        </w:rPr>
        <w:t>：</w:t>
      </w:r>
    </w:p>
    <w:p w:rsidR="009A3ED0" w:rsidRDefault="0003434D">
      <w:pPr>
        <w:pStyle w:val="Textbody"/>
        <w:numPr>
          <w:ilvl w:val="0"/>
          <w:numId w:val="13"/>
        </w:numPr>
        <w:spacing w:line="500" w:lineRule="exact"/>
        <w:rPr>
          <w:rFonts w:ascii="標楷體" w:eastAsia="標楷體" w:hAnsi="標楷體"/>
          <w:sz w:val="28"/>
        </w:rPr>
      </w:pPr>
      <w:r>
        <w:rPr>
          <w:rFonts w:ascii="標楷體" w:eastAsia="標楷體" w:hAnsi="標楷體"/>
          <w:sz w:val="28"/>
        </w:rPr>
        <w:t>身分證字號：</w:t>
      </w:r>
    </w:p>
    <w:p w:rsidR="009A3ED0" w:rsidRDefault="0003434D">
      <w:pPr>
        <w:pStyle w:val="Textbody"/>
        <w:numPr>
          <w:ilvl w:val="0"/>
          <w:numId w:val="13"/>
        </w:numPr>
        <w:spacing w:line="500" w:lineRule="exact"/>
        <w:rPr>
          <w:rFonts w:ascii="標楷體" w:eastAsia="標楷體" w:hAnsi="標楷體"/>
          <w:sz w:val="28"/>
        </w:rPr>
      </w:pPr>
      <w:r>
        <w:rPr>
          <w:rFonts w:ascii="標楷體" w:eastAsia="標楷體" w:hAnsi="標楷體"/>
          <w:sz w:val="28"/>
        </w:rPr>
        <w:t>服務機關：</w:t>
      </w:r>
    </w:p>
    <w:p w:rsidR="009A3ED0" w:rsidRDefault="0003434D">
      <w:pPr>
        <w:pStyle w:val="Textbody"/>
        <w:numPr>
          <w:ilvl w:val="0"/>
          <w:numId w:val="13"/>
        </w:numPr>
        <w:spacing w:line="500" w:lineRule="exact"/>
        <w:rPr>
          <w:rFonts w:ascii="標楷體" w:eastAsia="標楷體" w:hAnsi="標楷體"/>
          <w:sz w:val="28"/>
        </w:rPr>
      </w:pPr>
      <w:r>
        <w:rPr>
          <w:rFonts w:ascii="標楷體" w:eastAsia="標楷體" w:hAnsi="標楷體"/>
          <w:sz w:val="28"/>
        </w:rPr>
        <w:t>職稱：</w:t>
      </w:r>
    </w:p>
    <w:p w:rsidR="009A3ED0" w:rsidRDefault="0003434D">
      <w:pPr>
        <w:pStyle w:val="Textbody"/>
        <w:numPr>
          <w:ilvl w:val="0"/>
          <w:numId w:val="13"/>
        </w:numPr>
        <w:spacing w:line="500" w:lineRule="exact"/>
        <w:rPr>
          <w:rFonts w:ascii="標楷體" w:eastAsia="標楷體" w:hAnsi="標楷體"/>
          <w:sz w:val="28"/>
        </w:rPr>
      </w:pPr>
      <w:r>
        <w:rPr>
          <w:rFonts w:ascii="標楷體" w:eastAsia="標楷體" w:hAnsi="標楷體"/>
          <w:sz w:val="28"/>
        </w:rPr>
        <w:t>聯絡電話：</w:t>
      </w:r>
    </w:p>
    <w:p w:rsidR="009A3ED0" w:rsidRDefault="0003434D">
      <w:pPr>
        <w:pStyle w:val="Textbody"/>
        <w:numPr>
          <w:ilvl w:val="0"/>
          <w:numId w:val="13"/>
        </w:numPr>
        <w:spacing w:line="500" w:lineRule="exact"/>
        <w:rPr>
          <w:rFonts w:ascii="標楷體" w:eastAsia="標楷體" w:hAnsi="標楷體"/>
          <w:sz w:val="28"/>
        </w:rPr>
      </w:pPr>
      <w:r>
        <w:rPr>
          <w:rFonts w:ascii="標楷體" w:eastAsia="標楷體" w:hAnsi="標楷體"/>
          <w:sz w:val="28"/>
        </w:rPr>
        <w:t>電子郵件：</w:t>
      </w:r>
    </w:p>
    <w:p w:rsidR="009A3ED0" w:rsidRDefault="0003434D">
      <w:pPr>
        <w:pStyle w:val="Textbody"/>
        <w:numPr>
          <w:ilvl w:val="0"/>
          <w:numId w:val="12"/>
        </w:numPr>
        <w:spacing w:line="500" w:lineRule="exact"/>
        <w:rPr>
          <w:rFonts w:ascii="標楷體" w:eastAsia="標楷體" w:hAnsi="標楷體"/>
          <w:sz w:val="28"/>
        </w:rPr>
      </w:pPr>
      <w:r>
        <w:rPr>
          <w:rFonts w:ascii="標楷體" w:eastAsia="標楷體" w:hAnsi="標楷體"/>
          <w:sz w:val="28"/>
        </w:rPr>
        <w:t>研究內容方向：</w:t>
      </w:r>
      <w:r>
        <w:rPr>
          <w:rFonts w:ascii="標楷體" w:eastAsia="標楷體" w:hAnsi="標楷體"/>
          <w:sz w:val="28"/>
        </w:rPr>
        <w:t>(</w:t>
      </w:r>
      <w:r>
        <w:rPr>
          <w:rFonts w:ascii="標楷體" w:eastAsia="標楷體" w:hAnsi="標楷體"/>
          <w:sz w:val="28"/>
        </w:rPr>
        <w:t>約</w:t>
      </w:r>
      <w:r>
        <w:rPr>
          <w:rFonts w:ascii="標楷體" w:eastAsia="標楷體" w:hAnsi="標楷體"/>
          <w:sz w:val="28"/>
        </w:rPr>
        <w:t>50</w:t>
      </w:r>
      <w:r>
        <w:rPr>
          <w:rFonts w:ascii="標楷體" w:eastAsia="標楷體" w:hAnsi="標楷體"/>
          <w:sz w:val="28"/>
        </w:rPr>
        <w:t>個字</w:t>
      </w:r>
      <w:r>
        <w:rPr>
          <w:rFonts w:ascii="標楷體" w:eastAsia="標楷體" w:hAnsi="標楷體"/>
          <w:sz w:val="28"/>
        </w:rPr>
        <w:t>)</w:t>
      </w:r>
    </w:p>
    <w:p w:rsidR="009A3ED0" w:rsidRDefault="0003434D">
      <w:pPr>
        <w:pStyle w:val="Textbody"/>
        <w:spacing w:line="540" w:lineRule="exact"/>
        <w:ind w:left="720" w:right="958"/>
      </w:pPr>
      <w:r>
        <w:rPr>
          <w:rFonts w:ascii="標楷體" w:eastAsia="標楷體" w:hAnsi="標楷體"/>
          <w:sz w:val="28"/>
          <w:u w:val="single"/>
        </w:rPr>
        <w:t xml:space="preserve">                                              </w:t>
      </w:r>
      <w:r>
        <w:rPr>
          <w:rFonts w:ascii="標楷體" w:eastAsia="標楷體" w:hAnsi="標楷體"/>
          <w:color w:val="FFFFFF"/>
          <w:sz w:val="28"/>
        </w:rPr>
        <w:t>）</w:t>
      </w:r>
    </w:p>
    <w:p w:rsidR="009A3ED0" w:rsidRDefault="0003434D">
      <w:pPr>
        <w:pStyle w:val="Textbody"/>
        <w:spacing w:line="540" w:lineRule="exact"/>
        <w:ind w:left="720" w:right="958"/>
      </w:pPr>
      <w:r>
        <w:rPr>
          <w:rFonts w:ascii="標楷體" w:eastAsia="標楷體" w:hAnsi="標楷體"/>
          <w:sz w:val="28"/>
          <w:u w:val="single"/>
        </w:rPr>
        <w:t xml:space="preserve">                                              </w:t>
      </w:r>
      <w:r>
        <w:rPr>
          <w:rFonts w:ascii="標楷體" w:eastAsia="標楷體" w:hAnsi="標楷體"/>
          <w:color w:val="FFFFFF"/>
          <w:sz w:val="28"/>
        </w:rPr>
        <w:t>）</w:t>
      </w:r>
    </w:p>
    <w:p w:rsidR="009A3ED0" w:rsidRDefault="0003434D">
      <w:pPr>
        <w:pStyle w:val="Textbody"/>
        <w:spacing w:line="540" w:lineRule="exact"/>
        <w:ind w:left="720" w:right="958"/>
      </w:pPr>
      <w:r>
        <w:rPr>
          <w:rFonts w:ascii="標楷體" w:eastAsia="標楷體" w:hAnsi="標楷體"/>
          <w:sz w:val="28"/>
          <w:u w:val="single"/>
        </w:rPr>
        <w:t xml:space="preserve">                                              </w:t>
      </w:r>
      <w:r>
        <w:rPr>
          <w:rFonts w:ascii="標楷體" w:eastAsia="標楷體" w:hAnsi="標楷體"/>
          <w:color w:val="FFFFFF"/>
          <w:sz w:val="28"/>
        </w:rPr>
        <w:t>）</w:t>
      </w:r>
    </w:p>
    <w:p w:rsidR="009A3ED0" w:rsidRDefault="0003434D">
      <w:pPr>
        <w:pStyle w:val="Textbody"/>
        <w:spacing w:line="500" w:lineRule="exact"/>
        <w:ind w:left="720"/>
      </w:pPr>
      <w:r>
        <w:rPr>
          <w:rFonts w:ascii="標楷體" w:eastAsia="標楷體" w:hAnsi="標楷體"/>
          <w:sz w:val="28"/>
          <w:u w:val="single"/>
        </w:rPr>
        <w:t xml:space="preserve">                </w:t>
      </w:r>
      <w:r>
        <w:rPr>
          <w:rFonts w:ascii="標楷體" w:eastAsia="標楷體" w:hAnsi="標楷體"/>
          <w:sz w:val="28"/>
        </w:rPr>
        <w:t xml:space="preserve">                              </w:t>
      </w:r>
    </w:p>
    <w:p w:rsidR="009A3ED0" w:rsidRDefault="0003434D">
      <w:pPr>
        <w:pStyle w:val="Textbody"/>
        <w:ind w:right="960"/>
      </w:pPr>
      <w:r>
        <w:rPr>
          <w:rFonts w:ascii="標楷體" w:eastAsia="標楷體" w:hAnsi="標楷體"/>
          <w:sz w:val="28"/>
        </w:rPr>
        <w:t>申請人：</w:t>
      </w:r>
      <w:r>
        <w:rPr>
          <w:rFonts w:ascii="標楷體" w:eastAsia="標楷體" w:hAnsi="標楷體"/>
          <w:sz w:val="28"/>
          <w:u w:val="single"/>
        </w:rPr>
        <w:t xml:space="preserve">                </w:t>
      </w:r>
      <w:r>
        <w:rPr>
          <w:rFonts w:ascii="標楷體" w:eastAsia="標楷體" w:hAnsi="標楷體"/>
          <w:sz w:val="28"/>
        </w:rPr>
        <w:t>（簽章）</w:t>
      </w:r>
    </w:p>
    <w:p w:rsidR="009A3ED0" w:rsidRDefault="0003434D">
      <w:pPr>
        <w:pStyle w:val="Textbody"/>
        <w:ind w:right="84"/>
      </w:pPr>
      <w:r>
        <w:rPr>
          <w:rFonts w:ascii="標楷體" w:eastAsia="標楷體" w:hAnsi="標楷體"/>
          <w:sz w:val="28"/>
        </w:rPr>
        <w:t>主管機關人事機構戳章：</w:t>
      </w:r>
      <w:r>
        <w:rPr>
          <w:rFonts w:ascii="標楷體" w:eastAsia="標楷體" w:hAnsi="標楷體"/>
          <w:sz w:val="28"/>
          <w:u w:val="single"/>
        </w:rPr>
        <w:t xml:space="preserve">                   </w:t>
      </w:r>
      <w:r>
        <w:rPr>
          <w:rFonts w:ascii="標楷體" w:eastAsia="標楷體" w:hAnsi="標楷體"/>
          <w:sz w:val="28"/>
        </w:rPr>
        <w:t>(</w:t>
      </w:r>
      <w:r>
        <w:rPr>
          <w:rFonts w:ascii="標楷體" w:eastAsia="標楷體" w:hAnsi="標楷體"/>
          <w:sz w:val="28"/>
        </w:rPr>
        <w:t>請蓋戳章</w:t>
      </w:r>
      <w:r>
        <w:rPr>
          <w:rFonts w:ascii="標楷體" w:eastAsia="標楷體" w:hAnsi="標楷體"/>
          <w:sz w:val="28"/>
        </w:rPr>
        <w:t>)</w:t>
      </w:r>
    </w:p>
    <w:p w:rsidR="009A3ED0" w:rsidRDefault="009A3ED0">
      <w:pPr>
        <w:pStyle w:val="Textbody"/>
        <w:rPr>
          <w:rFonts w:ascii="標楷體" w:eastAsia="標楷體" w:hAnsi="標楷體"/>
          <w:sz w:val="32"/>
        </w:rPr>
      </w:pPr>
    </w:p>
    <w:p w:rsidR="009A3ED0" w:rsidRDefault="009A3ED0">
      <w:pPr>
        <w:pStyle w:val="Textbody"/>
        <w:rPr>
          <w:rFonts w:ascii="標楷體" w:eastAsia="標楷體" w:hAnsi="標楷體"/>
          <w:sz w:val="32"/>
        </w:rPr>
      </w:pPr>
    </w:p>
    <w:p w:rsidR="009A3ED0" w:rsidRDefault="0003434D">
      <w:pPr>
        <w:pStyle w:val="Textbody"/>
        <w:spacing w:line="400" w:lineRule="exact"/>
        <w:rPr>
          <w:rFonts w:ascii="標楷體" w:eastAsia="標楷體" w:hAnsi="標楷體"/>
          <w:szCs w:val="28"/>
        </w:rPr>
      </w:pPr>
      <w:r>
        <w:rPr>
          <w:rFonts w:ascii="標楷體" w:eastAsia="標楷體" w:hAnsi="標楷體"/>
          <w:szCs w:val="28"/>
        </w:rPr>
        <w:t>備註：</w:t>
      </w:r>
    </w:p>
    <w:p w:rsidR="009A3ED0" w:rsidRDefault="0003434D">
      <w:pPr>
        <w:pStyle w:val="Textbody"/>
        <w:numPr>
          <w:ilvl w:val="0"/>
          <w:numId w:val="14"/>
        </w:numPr>
        <w:spacing w:line="400" w:lineRule="exact"/>
        <w:ind w:left="284" w:hanging="284"/>
        <w:rPr>
          <w:rFonts w:ascii="標楷體" w:eastAsia="標楷體" w:hAnsi="標楷體"/>
          <w:szCs w:val="28"/>
        </w:rPr>
      </w:pPr>
      <w:r>
        <w:rPr>
          <w:rFonts w:ascii="標楷體" w:eastAsia="標楷體" w:hAnsi="標楷體"/>
          <w:szCs w:val="28"/>
        </w:rPr>
        <w:t>資料庫數據開放期間自即日起至</w:t>
      </w:r>
      <w:r>
        <w:rPr>
          <w:rFonts w:ascii="標楷體" w:eastAsia="標楷體" w:hAnsi="標楷體"/>
          <w:szCs w:val="28"/>
        </w:rPr>
        <w:t>110</w:t>
      </w:r>
      <w:r>
        <w:rPr>
          <w:rFonts w:ascii="標楷體" w:eastAsia="標楷體" w:hAnsi="標楷體"/>
          <w:szCs w:val="28"/>
        </w:rPr>
        <w:t>年</w:t>
      </w:r>
      <w:r>
        <w:rPr>
          <w:rFonts w:ascii="標楷體" w:eastAsia="標楷體" w:hAnsi="標楷體"/>
          <w:szCs w:val="28"/>
        </w:rPr>
        <w:t>8</w:t>
      </w:r>
      <w:r>
        <w:rPr>
          <w:rFonts w:ascii="標楷體" w:eastAsia="標楷體" w:hAnsi="標楷體"/>
          <w:szCs w:val="28"/>
        </w:rPr>
        <w:t>月</w:t>
      </w:r>
      <w:r>
        <w:rPr>
          <w:rFonts w:ascii="標楷體" w:eastAsia="標楷體" w:hAnsi="標楷體"/>
          <w:szCs w:val="28"/>
        </w:rPr>
        <w:t>27</w:t>
      </w:r>
      <w:r>
        <w:rPr>
          <w:rFonts w:ascii="標楷體" w:eastAsia="標楷體" w:hAnsi="標楷體"/>
          <w:szCs w:val="28"/>
        </w:rPr>
        <w:t>日。</w:t>
      </w:r>
    </w:p>
    <w:p w:rsidR="009A3ED0" w:rsidRDefault="0003434D">
      <w:pPr>
        <w:pStyle w:val="Textbody"/>
        <w:numPr>
          <w:ilvl w:val="0"/>
          <w:numId w:val="14"/>
        </w:numPr>
        <w:spacing w:line="400" w:lineRule="exact"/>
        <w:ind w:left="284" w:hanging="284"/>
      </w:pPr>
      <w:r>
        <w:rPr>
          <w:rFonts w:ascii="標楷體" w:eastAsia="標楷體" w:hAnsi="標楷體"/>
          <w:szCs w:val="28"/>
        </w:rPr>
        <w:t>由本總處確認申請資料無誤後，約需</w:t>
      </w:r>
      <w:r>
        <w:rPr>
          <w:rFonts w:ascii="標楷體" w:eastAsia="標楷體" w:hAnsi="標楷體"/>
          <w:szCs w:val="28"/>
        </w:rPr>
        <w:t>3</w:t>
      </w:r>
      <w:r>
        <w:rPr>
          <w:rFonts w:ascii="標楷體" w:eastAsia="標楷體" w:hAnsi="標楷體"/>
          <w:szCs w:val="28"/>
        </w:rPr>
        <w:t>個工作日辦理權限開通，爰請於</w:t>
      </w:r>
      <w:r>
        <w:rPr>
          <w:rFonts w:ascii="標楷體" w:eastAsia="標楷體" w:hAnsi="標楷體"/>
          <w:szCs w:val="28"/>
        </w:rPr>
        <w:t>110</w:t>
      </w:r>
      <w:r>
        <w:rPr>
          <w:rFonts w:ascii="標楷體" w:eastAsia="標楷體" w:hAnsi="標楷體"/>
          <w:szCs w:val="28"/>
        </w:rPr>
        <w:t>年</w:t>
      </w:r>
      <w:r>
        <w:rPr>
          <w:rFonts w:ascii="標楷體" w:eastAsia="標楷體" w:hAnsi="標楷體"/>
          <w:szCs w:val="28"/>
        </w:rPr>
        <w:t>8</w:t>
      </w:r>
      <w:r>
        <w:rPr>
          <w:rFonts w:ascii="標楷體" w:eastAsia="標楷體" w:hAnsi="標楷體"/>
          <w:szCs w:val="28"/>
        </w:rPr>
        <w:t>月</w:t>
      </w:r>
      <w:r>
        <w:rPr>
          <w:rFonts w:ascii="標楷體" w:eastAsia="標楷體" w:hAnsi="標楷體"/>
          <w:szCs w:val="28"/>
        </w:rPr>
        <w:t>23</w:t>
      </w:r>
      <w:r>
        <w:rPr>
          <w:rFonts w:ascii="標楷體" w:eastAsia="標楷體" w:hAnsi="標楷體"/>
          <w:szCs w:val="28"/>
        </w:rPr>
        <w:t>日</w:t>
      </w:r>
      <w:r>
        <w:rPr>
          <w:rFonts w:ascii="標楷體" w:eastAsia="標楷體" w:hAnsi="標楷體"/>
          <w:szCs w:val="28"/>
        </w:rPr>
        <w:t>(</w:t>
      </w:r>
      <w:r>
        <w:rPr>
          <w:rFonts w:ascii="標楷體" w:eastAsia="標楷體" w:hAnsi="標楷體"/>
          <w:szCs w:val="28"/>
        </w:rPr>
        <w:t>星期一</w:t>
      </w:r>
      <w:r>
        <w:rPr>
          <w:rFonts w:ascii="標楷體" w:eastAsia="標楷體" w:hAnsi="標楷體"/>
          <w:szCs w:val="28"/>
        </w:rPr>
        <w:t>)</w:t>
      </w:r>
      <w:r>
        <w:rPr>
          <w:rFonts w:ascii="標楷體" w:eastAsia="標楷體" w:hAnsi="標楷體"/>
          <w:szCs w:val="28"/>
        </w:rPr>
        <w:t>前免備文以電子郵件傳送至本總處專用信箱</w:t>
      </w:r>
      <w:r>
        <w:rPr>
          <w:rFonts w:ascii="標楷體" w:eastAsia="標楷體" w:hAnsi="標楷體"/>
          <w:szCs w:val="24"/>
        </w:rPr>
        <w:t>（</w:t>
      </w:r>
      <w:r>
        <w:rPr>
          <w:rFonts w:ascii="標楷體" w:eastAsia="標楷體" w:hAnsi="標楷體"/>
          <w:szCs w:val="24"/>
        </w:rPr>
        <w:t>suggestion@dgpa.gov.tw</w:t>
      </w:r>
      <w:r>
        <w:rPr>
          <w:rFonts w:ascii="標楷體" w:eastAsia="標楷體" w:hAnsi="標楷體"/>
          <w:szCs w:val="24"/>
        </w:rPr>
        <w:t>）。</w:t>
      </w:r>
    </w:p>
    <w:sectPr w:rsidR="009A3ED0">
      <w:footerReference w:type="default" r:id="rId7"/>
      <w:pgSz w:w="11906" w:h="16838"/>
      <w:pgMar w:top="851" w:right="1134" w:bottom="1134" w:left="1134" w:header="720" w:footer="737" w:gutter="0"/>
      <w:cols w:space="720"/>
      <w:docGrid w:type="lines" w:linePitch="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34D" w:rsidRDefault="0003434D">
      <w:r>
        <w:separator/>
      </w:r>
    </w:p>
  </w:endnote>
  <w:endnote w:type="continuationSeparator" w:id="0">
    <w:p w:rsidR="0003434D" w:rsidRDefault="0003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37" w:rsidRDefault="0003434D">
    <w:pPr>
      <w:pStyle w:val="a4"/>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6</w:t>
    </w:r>
    <w:r>
      <w:rPr>
        <w:rFonts w:ascii="標楷體" w:eastAsia="標楷體" w:hAnsi="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34D" w:rsidRDefault="0003434D">
      <w:r>
        <w:rPr>
          <w:color w:val="000000"/>
        </w:rPr>
        <w:separator/>
      </w:r>
    </w:p>
  </w:footnote>
  <w:footnote w:type="continuationSeparator" w:id="0">
    <w:p w:rsidR="0003434D" w:rsidRDefault="00034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35E9"/>
    <w:multiLevelType w:val="multilevel"/>
    <w:tmpl w:val="BD445ADC"/>
    <w:lvl w:ilvl="0">
      <w:start w:val="1"/>
      <w:numFmt w:val="taiwaneseCountingThousand"/>
      <w:lvlText w:val="%1、"/>
      <w:lvlJc w:val="left"/>
      <w:pPr>
        <w:ind w:left="720" w:hanging="72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3250C4F"/>
    <w:multiLevelType w:val="multilevel"/>
    <w:tmpl w:val="A34C147E"/>
    <w:lvl w:ilvl="0">
      <w:start w:val="1"/>
      <w:numFmt w:val="taiwaneseCountingThousand"/>
      <w:lvlText w:val="%1、"/>
      <w:lvlJc w:val="left"/>
      <w:pPr>
        <w:ind w:left="720" w:hanging="72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3E3E2F"/>
    <w:multiLevelType w:val="multilevel"/>
    <w:tmpl w:val="86AE683C"/>
    <w:lvl w:ilvl="0">
      <w:start w:val="1"/>
      <w:numFmt w:val="decimal"/>
      <w:lvlText w:val="%1."/>
      <w:lvlJc w:val="left"/>
      <w:pPr>
        <w:ind w:left="960" w:hanging="360"/>
      </w:pPr>
      <w:rPr>
        <w:rFonts w:ascii="標楷體" w:eastAsia="標楷體" w:hAnsi="標楷體"/>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786782B"/>
    <w:multiLevelType w:val="multilevel"/>
    <w:tmpl w:val="C0CABDE8"/>
    <w:lvl w:ilvl="0">
      <w:start w:val="1"/>
      <w:numFmt w:val="taiwaneseCountingThousand"/>
      <w:lvlText w:val="%1、"/>
      <w:lvlJc w:val="left"/>
      <w:pPr>
        <w:ind w:left="720" w:hanging="72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A6C2CB3"/>
    <w:multiLevelType w:val="multilevel"/>
    <w:tmpl w:val="1E4EF39C"/>
    <w:lvl w:ilvl="0">
      <w:start w:val="1"/>
      <w:numFmt w:val="taiwaneseCountingThousand"/>
      <w:lvlText w:val="%1、"/>
      <w:lvlJc w:val="left"/>
      <w:pPr>
        <w:ind w:left="720" w:hanging="72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69D53B6"/>
    <w:multiLevelType w:val="multilevel"/>
    <w:tmpl w:val="7E8EB5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EBF607F"/>
    <w:multiLevelType w:val="multilevel"/>
    <w:tmpl w:val="6532A754"/>
    <w:lvl w:ilvl="0">
      <w:start w:val="1"/>
      <w:numFmt w:val="taiwaneseCountingThousand"/>
      <w:lvlText w:val="%1、"/>
      <w:lvlJc w:val="left"/>
      <w:pPr>
        <w:ind w:left="720" w:hanging="72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15C287A"/>
    <w:multiLevelType w:val="multilevel"/>
    <w:tmpl w:val="F3B4F4E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21C67D7"/>
    <w:multiLevelType w:val="multilevel"/>
    <w:tmpl w:val="C7C0C648"/>
    <w:lvl w:ilvl="0">
      <w:start w:val="1"/>
      <w:numFmt w:val="taiwaneseCountingThousand"/>
      <w:lvlText w:val="%1、"/>
      <w:lvlJc w:val="left"/>
      <w:pPr>
        <w:ind w:left="720" w:hanging="72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70F40DB"/>
    <w:multiLevelType w:val="multilevel"/>
    <w:tmpl w:val="ABE291CA"/>
    <w:lvl w:ilvl="0">
      <w:start w:val="1"/>
      <w:numFmt w:val="taiwaneseCountingThousand"/>
      <w:lvlText w:val="%1、"/>
      <w:lvlJc w:val="left"/>
      <w:pPr>
        <w:ind w:left="720" w:hanging="72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7AE33B5"/>
    <w:multiLevelType w:val="multilevel"/>
    <w:tmpl w:val="BD120C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0A84B6C"/>
    <w:multiLevelType w:val="multilevel"/>
    <w:tmpl w:val="4776CA4E"/>
    <w:lvl w:ilvl="0">
      <w:start w:val="1"/>
      <w:numFmt w:val="taiwaneseCountingThousand"/>
      <w:lvlText w:val="(%1)"/>
      <w:lvlJc w:val="left"/>
      <w:pPr>
        <w:ind w:left="1284" w:hanging="720"/>
      </w:p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12" w15:restartNumberingAfterBreak="0">
    <w:nsid w:val="65AF268E"/>
    <w:multiLevelType w:val="multilevel"/>
    <w:tmpl w:val="960849A0"/>
    <w:lvl w:ilvl="0">
      <w:start w:val="1"/>
      <w:numFmt w:val="taiwaneseCountingThousand"/>
      <w:lvlText w:val="%1、"/>
      <w:lvlJc w:val="left"/>
      <w:pPr>
        <w:ind w:left="720" w:hanging="72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8961CFC"/>
    <w:multiLevelType w:val="multilevel"/>
    <w:tmpl w:val="26E6948E"/>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3"/>
  </w:num>
  <w:num w:numId="2">
    <w:abstractNumId w:val="0"/>
  </w:num>
  <w:num w:numId="3">
    <w:abstractNumId w:val="4"/>
  </w:num>
  <w:num w:numId="4">
    <w:abstractNumId w:val="9"/>
  </w:num>
  <w:num w:numId="5">
    <w:abstractNumId w:val="12"/>
  </w:num>
  <w:num w:numId="6">
    <w:abstractNumId w:val="1"/>
  </w:num>
  <w:num w:numId="7">
    <w:abstractNumId w:val="7"/>
  </w:num>
  <w:num w:numId="8">
    <w:abstractNumId w:val="6"/>
  </w:num>
  <w:num w:numId="9">
    <w:abstractNumId w:val="10"/>
  </w:num>
  <w:num w:numId="10">
    <w:abstractNumId w:val="5"/>
  </w:num>
  <w:num w:numId="11">
    <w:abstractNumId w:val="13"/>
  </w:num>
  <w:num w:numId="12">
    <w:abstractNumId w:val="8"/>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A3ED0"/>
    <w:rsid w:val="0003434D"/>
    <w:rsid w:val="00923241"/>
    <w:rsid w:val="009A3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E5B027-2C12-43EE-9831-6E58D1D2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mbria" w:eastAsia="Cambria" w:hAnsi="Cambria" w:cs="Cambria"/>
      <w:sz w:val="18"/>
      <w:szCs w:val="18"/>
    </w:rPr>
  </w:style>
  <w:style w:type="paragraph" w:styleId="a6">
    <w:name w:val="List Paragraph"/>
    <w:basedOn w:val="Textbody"/>
    <w:pPr>
      <w:ind w:left="480"/>
    </w:pPr>
  </w:style>
  <w:style w:type="paragraph" w:styleId="a7">
    <w:name w:val="Note Heading"/>
    <w:basedOn w:val="Textbody"/>
    <w:next w:val="Textbody"/>
    <w:pPr>
      <w:jc w:val="center"/>
    </w:pPr>
    <w:rPr>
      <w:rFonts w:ascii="Times New Roman" w:eastAsia="標楷體" w:hAnsi="Times New Roman"/>
      <w:bCs/>
      <w:sz w:val="28"/>
      <w:szCs w:val="28"/>
    </w:rPr>
  </w:style>
  <w:style w:type="paragraph" w:styleId="a8">
    <w:name w:val="Closing"/>
    <w:basedOn w:val="Textbody"/>
    <w:pPr>
      <w:ind w:left="100"/>
    </w:pPr>
    <w:rPr>
      <w:rFonts w:ascii="Times New Roman" w:eastAsia="標楷體" w:hAnsi="Times New Roman"/>
      <w:bCs/>
      <w:sz w:val="28"/>
      <w:szCs w:val="28"/>
    </w:rPr>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imes New Roman"/>
      <w:sz w:val="18"/>
      <w:szCs w:val="18"/>
    </w:rPr>
  </w:style>
  <w:style w:type="character" w:customStyle="1" w:styleId="ac">
    <w:name w:val="註釋標題 字元"/>
    <w:basedOn w:val="a0"/>
    <w:rPr>
      <w:rFonts w:ascii="Times New Roman" w:eastAsia="標楷體" w:hAnsi="Times New Roman" w:cs="Times New Roman"/>
      <w:bCs/>
      <w:sz w:val="28"/>
      <w:szCs w:val="28"/>
    </w:rPr>
  </w:style>
  <w:style w:type="character" w:customStyle="1" w:styleId="ad">
    <w:name w:val="結語 字元"/>
    <w:basedOn w:val="a0"/>
    <w:rPr>
      <w:rFonts w:ascii="Times New Roman" w:eastAsia="標楷體" w:hAnsi="Times New Roman" w:cs="Times New Roman"/>
      <w:bCs/>
      <w:sz w:val="28"/>
      <w:szCs w:val="28"/>
    </w:rPr>
  </w:style>
  <w:style w:type="character" w:styleId="ae">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stu</cp:lastModifiedBy>
  <cp:revision>2</cp:revision>
  <cp:lastPrinted>2021-04-12T01:57:00Z</cp:lastPrinted>
  <dcterms:created xsi:type="dcterms:W3CDTF">2021-04-23T01:25:00Z</dcterms:created>
  <dcterms:modified xsi:type="dcterms:W3CDTF">2021-04-23T01:25:00Z</dcterms:modified>
</cp:coreProperties>
</file>