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42" w:rsidRPr="00913442" w:rsidRDefault="00913442" w:rsidP="00913442">
      <w:pPr>
        <w:spacing w:line="480" w:lineRule="exact"/>
        <w:jc w:val="center"/>
        <w:rPr>
          <w:rFonts w:ascii="標楷體" w:eastAsia="標楷體" w:hAnsi="標楷體"/>
          <w:b/>
          <w:sz w:val="40"/>
          <w:szCs w:val="40"/>
        </w:rPr>
      </w:pPr>
      <w:r w:rsidRPr="00913442">
        <w:rPr>
          <w:rFonts w:ascii="標楷體" w:eastAsia="標楷體" w:hAnsi="標楷體" w:hint="eastAsia"/>
          <w:b/>
          <w:sz w:val="40"/>
          <w:szCs w:val="40"/>
        </w:rPr>
        <w:t>兩公約人權教育訓練及成效評核實施計畫</w:t>
      </w:r>
    </w:p>
    <w:p w:rsidR="00913442" w:rsidRPr="00913442" w:rsidRDefault="00913442" w:rsidP="00913442">
      <w:pPr>
        <w:spacing w:line="480" w:lineRule="exact"/>
        <w:rPr>
          <w:rFonts w:ascii="標楷體" w:eastAsia="標楷體" w:hAnsi="標楷體"/>
          <w:sz w:val="32"/>
          <w:szCs w:val="32"/>
        </w:rPr>
      </w:pPr>
    </w:p>
    <w:p w:rsidR="00913442" w:rsidRPr="00913442" w:rsidRDefault="00913442" w:rsidP="00913442">
      <w:pPr>
        <w:pStyle w:val="a3"/>
        <w:numPr>
          <w:ilvl w:val="0"/>
          <w:numId w:val="2"/>
        </w:numPr>
        <w:spacing w:line="480" w:lineRule="exact"/>
        <w:ind w:leftChars="0"/>
        <w:rPr>
          <w:rFonts w:ascii="標楷體" w:eastAsia="標楷體" w:hAnsi="標楷體"/>
          <w:b/>
          <w:sz w:val="32"/>
          <w:szCs w:val="32"/>
        </w:rPr>
      </w:pPr>
      <w:r w:rsidRPr="00913442">
        <w:rPr>
          <w:rFonts w:ascii="標楷體" w:eastAsia="標楷體" w:hAnsi="標楷體" w:hint="eastAsia"/>
          <w:b/>
          <w:sz w:val="32"/>
          <w:szCs w:val="32"/>
        </w:rPr>
        <w:t>計畫緣起</w:t>
      </w:r>
    </w:p>
    <w:p w:rsidR="00913442" w:rsidRPr="00913442" w:rsidRDefault="00F97915" w:rsidP="00F97915">
      <w:pPr>
        <w:spacing w:line="480" w:lineRule="exact"/>
        <w:rPr>
          <w:rFonts w:ascii="標楷體" w:eastAsia="標楷體" w:hAnsi="標楷體"/>
          <w:sz w:val="32"/>
          <w:szCs w:val="32"/>
        </w:rPr>
      </w:pPr>
      <w:r>
        <w:rPr>
          <w:rFonts w:ascii="標楷體" w:eastAsia="標楷體" w:hAnsi="標楷體" w:hint="eastAsia"/>
          <w:sz w:val="32"/>
          <w:szCs w:val="32"/>
        </w:rPr>
        <w:t xml:space="preserve">    </w:t>
      </w:r>
      <w:r w:rsidR="00913442" w:rsidRPr="00913442">
        <w:rPr>
          <w:rFonts w:ascii="標楷體" w:eastAsia="標楷體" w:hAnsi="標楷體" w:hint="eastAsia"/>
          <w:sz w:val="32"/>
          <w:szCs w:val="32"/>
        </w:rPr>
        <w:t>「公民與政治權利國際公約」及「經濟社會文化權利國際公約」（以下合稱兩公約）乃最重要之國際人權法典，亦是國際上人權保障體系不可或缺之一環，其內容在闡明人類之基本人權，並敦促各國積極落實，期使人人於公民政治與經濟社會文化權利上，享有自由及保障。為提升我國之人權標準，促進人權發展，重新融入國際人權體系及拓展國際人權互助合作，我國</w:t>
      </w:r>
      <w:r w:rsidR="00805F2F" w:rsidRPr="00913442">
        <w:rPr>
          <w:rFonts w:ascii="標楷體" w:eastAsia="標楷體" w:hAnsi="標楷體" w:hint="eastAsia"/>
          <w:sz w:val="32"/>
          <w:szCs w:val="32"/>
        </w:rPr>
        <w:t>於98年4月22日總統令公布兩公約施行法，並</w:t>
      </w:r>
      <w:r w:rsidR="00913442" w:rsidRPr="00913442">
        <w:rPr>
          <w:rFonts w:ascii="標楷體" w:eastAsia="標楷體" w:hAnsi="標楷體" w:hint="eastAsia"/>
          <w:sz w:val="32"/>
          <w:szCs w:val="32"/>
        </w:rPr>
        <w:t>於98年5月14日由總統批准兩公約，自98年12月10日起施行。</w:t>
      </w:r>
    </w:p>
    <w:p w:rsidR="00913442" w:rsidRPr="00913442" w:rsidRDefault="00913442" w:rsidP="00913442">
      <w:pPr>
        <w:spacing w:line="480" w:lineRule="exact"/>
        <w:ind w:firstLineChars="221" w:firstLine="707"/>
        <w:rPr>
          <w:rFonts w:ascii="標楷體" w:eastAsia="標楷體" w:hAnsi="標楷體"/>
          <w:sz w:val="32"/>
          <w:szCs w:val="32"/>
        </w:rPr>
      </w:pPr>
      <w:bookmarkStart w:id="0" w:name="_GoBack"/>
      <w:bookmarkEnd w:id="0"/>
      <w:r w:rsidRPr="00913442">
        <w:rPr>
          <w:rFonts w:ascii="標楷體" w:eastAsia="標楷體" w:hAnsi="標楷體" w:hint="eastAsia"/>
          <w:sz w:val="32"/>
          <w:szCs w:val="32"/>
        </w:rPr>
        <w:t>依據106年1月兩公約第2次國家報告國際審查會議，國際專家提出結論性意見與建議第14點建議人權教育訓練之推行應重視其妥適性及有效性；第15點建議政府當局應優先關注提供相關且適合每</w:t>
      </w:r>
      <w:proofErr w:type="gramStart"/>
      <w:r w:rsidRPr="00913442">
        <w:rPr>
          <w:rFonts w:ascii="標楷體" w:eastAsia="標楷體" w:hAnsi="標楷體" w:hint="eastAsia"/>
          <w:sz w:val="32"/>
          <w:szCs w:val="32"/>
        </w:rPr>
        <w:t>個</w:t>
      </w:r>
      <w:proofErr w:type="gramEnd"/>
      <w:r w:rsidRPr="00913442">
        <w:rPr>
          <w:rFonts w:ascii="標楷體" w:eastAsia="標楷體" w:hAnsi="標楷體" w:hint="eastAsia"/>
          <w:sz w:val="32"/>
          <w:szCs w:val="32"/>
        </w:rPr>
        <w:t>預期目標群的人權教育訓練，並為公務人員安排在一般執行公務，以及特別在擬定、規劃、執行與評估所有政府專案與活動上，採取關於以人權為本作法的密集訓練課程。法務部</w:t>
      </w:r>
      <w:proofErr w:type="gramStart"/>
      <w:r w:rsidRPr="00913442">
        <w:rPr>
          <w:rFonts w:ascii="標楷體" w:eastAsia="標楷體" w:hAnsi="標楷體" w:hint="eastAsia"/>
          <w:sz w:val="32"/>
          <w:szCs w:val="32"/>
        </w:rPr>
        <w:t>爰研</w:t>
      </w:r>
      <w:proofErr w:type="gramEnd"/>
      <w:r w:rsidRPr="00913442">
        <w:rPr>
          <w:rFonts w:ascii="標楷體" w:eastAsia="標楷體" w:hAnsi="標楷體" w:hint="eastAsia"/>
          <w:sz w:val="32"/>
          <w:szCs w:val="32"/>
        </w:rPr>
        <w:t>擬「兩公約人權教育訓練及成效評核實施計畫」。</w:t>
      </w:r>
    </w:p>
    <w:p w:rsidR="00913442" w:rsidRPr="00913442" w:rsidRDefault="00913442" w:rsidP="00913442">
      <w:pPr>
        <w:pStyle w:val="a3"/>
        <w:numPr>
          <w:ilvl w:val="0"/>
          <w:numId w:val="2"/>
        </w:numPr>
        <w:spacing w:line="480" w:lineRule="exact"/>
        <w:ind w:leftChars="0"/>
        <w:rPr>
          <w:rFonts w:ascii="標楷體" w:eastAsia="標楷體" w:hAnsi="標楷體"/>
          <w:b/>
          <w:sz w:val="32"/>
          <w:szCs w:val="32"/>
        </w:rPr>
      </w:pPr>
      <w:r w:rsidRPr="00913442">
        <w:rPr>
          <w:rFonts w:ascii="標楷體" w:eastAsia="標楷體" w:hAnsi="標楷體" w:hint="eastAsia"/>
          <w:b/>
          <w:sz w:val="32"/>
          <w:szCs w:val="32"/>
        </w:rPr>
        <w:t>教育訓練</w:t>
      </w:r>
    </w:p>
    <w:p w:rsidR="00913442" w:rsidRPr="00913442" w:rsidRDefault="00913442" w:rsidP="00913442">
      <w:pPr>
        <w:pStyle w:val="a3"/>
        <w:numPr>
          <w:ilvl w:val="0"/>
          <w:numId w:val="3"/>
        </w:numPr>
        <w:spacing w:line="480" w:lineRule="exact"/>
        <w:ind w:leftChars="0"/>
        <w:rPr>
          <w:rFonts w:ascii="標楷體" w:eastAsia="標楷體" w:hAnsi="標楷體"/>
          <w:sz w:val="32"/>
          <w:szCs w:val="32"/>
        </w:rPr>
      </w:pPr>
      <w:r w:rsidRPr="00913442">
        <w:rPr>
          <w:rFonts w:ascii="標楷體" w:eastAsia="標楷體" w:hAnsi="標楷體" w:hint="eastAsia"/>
          <w:sz w:val="32"/>
          <w:szCs w:val="32"/>
        </w:rPr>
        <w:t>統籌及主辦機關</w:t>
      </w:r>
    </w:p>
    <w:p w:rsidR="00913442" w:rsidRPr="00913442" w:rsidRDefault="00913442" w:rsidP="00913442">
      <w:pPr>
        <w:pStyle w:val="a3"/>
        <w:numPr>
          <w:ilvl w:val="0"/>
          <w:numId w:val="4"/>
        </w:numPr>
        <w:spacing w:line="480" w:lineRule="exact"/>
        <w:ind w:leftChars="0" w:hanging="11"/>
        <w:rPr>
          <w:rFonts w:ascii="標楷體" w:eastAsia="標楷體" w:hAnsi="標楷體"/>
          <w:sz w:val="32"/>
          <w:szCs w:val="32"/>
        </w:rPr>
      </w:pPr>
      <w:r w:rsidRPr="00913442">
        <w:rPr>
          <w:rFonts w:ascii="標楷體" w:eastAsia="標楷體" w:hAnsi="標楷體" w:hint="eastAsia"/>
          <w:sz w:val="32"/>
          <w:szCs w:val="32"/>
        </w:rPr>
        <w:t>統籌單位：法務部</w:t>
      </w:r>
    </w:p>
    <w:p w:rsidR="00913442" w:rsidRPr="00913442" w:rsidRDefault="00913442" w:rsidP="00913442">
      <w:pPr>
        <w:pStyle w:val="a3"/>
        <w:numPr>
          <w:ilvl w:val="0"/>
          <w:numId w:val="4"/>
        </w:numPr>
        <w:spacing w:line="480" w:lineRule="exact"/>
        <w:ind w:leftChars="0" w:left="2835" w:hanging="2126"/>
        <w:rPr>
          <w:rFonts w:ascii="標楷體" w:eastAsia="標楷體" w:hAnsi="標楷體"/>
          <w:sz w:val="32"/>
          <w:szCs w:val="32"/>
        </w:rPr>
      </w:pPr>
      <w:r w:rsidRPr="00913442">
        <w:rPr>
          <w:rFonts w:ascii="標楷體" w:eastAsia="標楷體" w:hAnsi="標楷體" w:hint="eastAsia"/>
          <w:sz w:val="32"/>
          <w:szCs w:val="32"/>
        </w:rPr>
        <w:t>主辦機關：行政院所屬機關（以下稱中央部會） 及各直轄市、縣（市）政府（以下合稱各級政府機關）</w:t>
      </w:r>
    </w:p>
    <w:p w:rsidR="00913442" w:rsidRPr="00913442" w:rsidRDefault="00913442" w:rsidP="00913442">
      <w:pPr>
        <w:pStyle w:val="a3"/>
        <w:numPr>
          <w:ilvl w:val="0"/>
          <w:numId w:val="3"/>
        </w:numPr>
        <w:spacing w:line="480" w:lineRule="exact"/>
        <w:ind w:leftChars="0"/>
        <w:rPr>
          <w:rFonts w:ascii="標楷體" w:eastAsia="標楷體" w:hAnsi="標楷體"/>
          <w:sz w:val="32"/>
          <w:szCs w:val="32"/>
        </w:rPr>
      </w:pPr>
      <w:r w:rsidRPr="00913442">
        <w:rPr>
          <w:rFonts w:ascii="標楷體" w:eastAsia="標楷體" w:hAnsi="標楷體" w:hint="eastAsia"/>
          <w:sz w:val="32"/>
          <w:szCs w:val="32"/>
        </w:rPr>
        <w:t>實施對象：各級政府機關公務人員</w:t>
      </w:r>
      <w:r>
        <w:rPr>
          <w:rStyle w:val="a6"/>
          <w:rFonts w:ascii="標楷體" w:eastAsia="標楷體" w:hAnsi="標楷體"/>
          <w:sz w:val="32"/>
          <w:szCs w:val="32"/>
        </w:rPr>
        <w:footnoteReference w:id="1"/>
      </w:r>
      <w:r w:rsidRPr="00913442">
        <w:rPr>
          <w:rFonts w:ascii="標楷體" w:eastAsia="標楷體" w:hAnsi="標楷體" w:hint="eastAsia"/>
          <w:sz w:val="32"/>
          <w:szCs w:val="32"/>
        </w:rPr>
        <w:t xml:space="preserve"> </w:t>
      </w:r>
    </w:p>
    <w:p w:rsidR="00913442" w:rsidRPr="00913442" w:rsidRDefault="00913442" w:rsidP="00913442">
      <w:pPr>
        <w:pStyle w:val="a3"/>
        <w:numPr>
          <w:ilvl w:val="0"/>
          <w:numId w:val="3"/>
        </w:numPr>
        <w:spacing w:line="480" w:lineRule="exact"/>
        <w:ind w:leftChars="0"/>
        <w:rPr>
          <w:rFonts w:ascii="標楷體" w:eastAsia="標楷體" w:hAnsi="標楷體"/>
          <w:sz w:val="32"/>
          <w:szCs w:val="32"/>
        </w:rPr>
      </w:pPr>
      <w:r w:rsidRPr="00913442">
        <w:rPr>
          <w:rFonts w:ascii="標楷體" w:eastAsia="標楷體" w:hAnsi="標楷體" w:hint="eastAsia"/>
          <w:sz w:val="32"/>
          <w:szCs w:val="32"/>
        </w:rPr>
        <w:lastRenderedPageBreak/>
        <w:t>辦理期間：107年至109年</w:t>
      </w:r>
    </w:p>
    <w:p w:rsidR="00913442" w:rsidRPr="00913442" w:rsidRDefault="00913442" w:rsidP="00913442">
      <w:pPr>
        <w:pStyle w:val="a3"/>
        <w:numPr>
          <w:ilvl w:val="0"/>
          <w:numId w:val="3"/>
        </w:numPr>
        <w:spacing w:line="480" w:lineRule="exact"/>
        <w:ind w:leftChars="0"/>
        <w:rPr>
          <w:rFonts w:ascii="標楷體" w:eastAsia="標楷體" w:hAnsi="標楷體"/>
          <w:sz w:val="32"/>
          <w:szCs w:val="32"/>
        </w:rPr>
      </w:pPr>
      <w:r w:rsidRPr="00913442">
        <w:rPr>
          <w:rFonts w:ascii="標楷體" w:eastAsia="標楷體" w:hAnsi="標楷體" w:hint="eastAsia"/>
          <w:sz w:val="32"/>
          <w:szCs w:val="32"/>
        </w:rPr>
        <w:t xml:space="preserve">辦理方式　</w:t>
      </w:r>
    </w:p>
    <w:p w:rsidR="00913442" w:rsidRPr="00913442" w:rsidRDefault="00913442" w:rsidP="00913442">
      <w:pPr>
        <w:pStyle w:val="a3"/>
        <w:numPr>
          <w:ilvl w:val="0"/>
          <w:numId w:val="5"/>
        </w:numPr>
        <w:spacing w:line="480" w:lineRule="exact"/>
        <w:ind w:leftChars="0" w:hanging="251"/>
        <w:rPr>
          <w:rFonts w:ascii="標楷體" w:eastAsia="標楷體" w:hAnsi="標楷體"/>
          <w:sz w:val="32"/>
          <w:szCs w:val="32"/>
        </w:rPr>
      </w:pPr>
      <w:r w:rsidRPr="00913442">
        <w:rPr>
          <w:rFonts w:ascii="標楷體" w:eastAsia="標楷體" w:hAnsi="標楷體" w:hint="eastAsia"/>
          <w:sz w:val="32"/>
          <w:szCs w:val="32"/>
        </w:rPr>
        <w:t>訓練目標</w:t>
      </w:r>
    </w:p>
    <w:p w:rsidR="00913442" w:rsidRPr="00913442" w:rsidRDefault="00913442" w:rsidP="00F25DCE">
      <w:pPr>
        <w:pStyle w:val="a3"/>
        <w:numPr>
          <w:ilvl w:val="0"/>
          <w:numId w:val="6"/>
        </w:numPr>
        <w:spacing w:line="480" w:lineRule="exact"/>
        <w:ind w:leftChars="0" w:left="1418" w:hanging="425"/>
        <w:rPr>
          <w:rFonts w:ascii="標楷體" w:eastAsia="標楷體" w:hAnsi="標楷體"/>
          <w:sz w:val="32"/>
          <w:szCs w:val="32"/>
        </w:rPr>
      </w:pPr>
      <w:r w:rsidRPr="00913442">
        <w:rPr>
          <w:rFonts w:ascii="標楷體" w:eastAsia="標楷體" w:hAnsi="標楷體" w:hint="eastAsia"/>
          <w:sz w:val="32"/>
          <w:szCs w:val="32"/>
        </w:rPr>
        <w:t>促進各級政府機關公務同仁瞭解兩公約條文、一般性意見與所負責業務之關聯性，學習將兩公約運用於業務工作中，並引用兩公約作為擬定、規劃、執行與評估政策、法律及措施之參考架構。</w:t>
      </w:r>
    </w:p>
    <w:p w:rsidR="00913442" w:rsidRPr="00913442" w:rsidRDefault="00913442" w:rsidP="00F25DCE">
      <w:pPr>
        <w:pStyle w:val="a3"/>
        <w:numPr>
          <w:ilvl w:val="0"/>
          <w:numId w:val="6"/>
        </w:numPr>
        <w:spacing w:line="480" w:lineRule="exact"/>
        <w:ind w:leftChars="0" w:left="1418" w:hanging="425"/>
        <w:rPr>
          <w:rFonts w:ascii="標楷體" w:eastAsia="標楷體" w:hAnsi="標楷體"/>
          <w:sz w:val="32"/>
          <w:szCs w:val="32"/>
        </w:rPr>
      </w:pPr>
      <w:r w:rsidRPr="00913442">
        <w:rPr>
          <w:rFonts w:ascii="標楷體" w:eastAsia="標楷體" w:hAnsi="標楷體" w:hint="eastAsia"/>
          <w:sz w:val="32"/>
          <w:szCs w:val="32"/>
        </w:rPr>
        <w:t>訓練公務人員自行思考，如何將人權標準轉化為日常業務操作及協助解決一線執法人員面臨之人權問題，</w:t>
      </w:r>
      <w:proofErr w:type="gramStart"/>
      <w:r w:rsidRPr="00913442">
        <w:rPr>
          <w:rFonts w:ascii="標楷體" w:eastAsia="標楷體" w:hAnsi="標楷體" w:hint="eastAsia"/>
          <w:sz w:val="32"/>
          <w:szCs w:val="32"/>
        </w:rPr>
        <w:t>俾</w:t>
      </w:r>
      <w:proofErr w:type="gramEnd"/>
      <w:r w:rsidRPr="00913442">
        <w:rPr>
          <w:rFonts w:ascii="標楷體" w:eastAsia="標楷體" w:hAnsi="標楷體" w:hint="eastAsia"/>
          <w:sz w:val="32"/>
          <w:szCs w:val="32"/>
        </w:rPr>
        <w:t>各級政府機關施政時避免造成人權侵害，進而規劃促進人權保障。</w:t>
      </w:r>
    </w:p>
    <w:p w:rsidR="00913442" w:rsidRPr="00913442" w:rsidRDefault="00913442" w:rsidP="00F25DCE">
      <w:pPr>
        <w:pStyle w:val="a3"/>
        <w:numPr>
          <w:ilvl w:val="0"/>
          <w:numId w:val="5"/>
        </w:numPr>
        <w:spacing w:line="480" w:lineRule="exact"/>
        <w:ind w:leftChars="0" w:hanging="251"/>
        <w:rPr>
          <w:rFonts w:ascii="標楷體" w:eastAsia="標楷體" w:hAnsi="標楷體"/>
          <w:sz w:val="32"/>
          <w:szCs w:val="32"/>
        </w:rPr>
      </w:pPr>
      <w:r w:rsidRPr="00913442">
        <w:rPr>
          <w:rFonts w:ascii="標楷體" w:eastAsia="標楷體" w:hAnsi="標楷體" w:hint="eastAsia"/>
          <w:sz w:val="32"/>
          <w:szCs w:val="32"/>
        </w:rPr>
        <w:t>訓練內容</w:t>
      </w:r>
    </w:p>
    <w:p w:rsidR="00913442" w:rsidRPr="00913442" w:rsidRDefault="00913442" w:rsidP="00F25DCE">
      <w:pPr>
        <w:pStyle w:val="a3"/>
        <w:numPr>
          <w:ilvl w:val="0"/>
          <w:numId w:val="7"/>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兩公約條文（含其他人權公約或宣言）</w:t>
      </w:r>
    </w:p>
    <w:p w:rsidR="00913442" w:rsidRPr="00913442" w:rsidRDefault="00913442" w:rsidP="00F25DCE">
      <w:pPr>
        <w:pStyle w:val="a3"/>
        <w:numPr>
          <w:ilvl w:val="0"/>
          <w:numId w:val="7"/>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一般性意見</w:t>
      </w:r>
    </w:p>
    <w:p w:rsidR="00913442" w:rsidRPr="00913442" w:rsidRDefault="00913442" w:rsidP="00F25DCE">
      <w:pPr>
        <w:pStyle w:val="a3"/>
        <w:numPr>
          <w:ilvl w:val="0"/>
          <w:numId w:val="7"/>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國內及國際兩公約人權相關案例</w:t>
      </w:r>
    </w:p>
    <w:p w:rsidR="00913442" w:rsidRPr="00913442" w:rsidRDefault="00913442" w:rsidP="00F25DCE">
      <w:pPr>
        <w:pStyle w:val="a3"/>
        <w:numPr>
          <w:ilvl w:val="0"/>
          <w:numId w:val="7"/>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各級政府機關業務與兩公約之關聯性</w:t>
      </w:r>
    </w:p>
    <w:p w:rsidR="00913442" w:rsidRPr="00913442" w:rsidRDefault="00913442" w:rsidP="00F25DCE">
      <w:pPr>
        <w:pStyle w:val="a3"/>
        <w:numPr>
          <w:ilvl w:val="0"/>
          <w:numId w:val="7"/>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如何運用兩公約於機關業務及施政</w:t>
      </w:r>
    </w:p>
    <w:p w:rsidR="00913442" w:rsidRPr="00913442" w:rsidRDefault="00913442" w:rsidP="00F25DCE">
      <w:pPr>
        <w:pStyle w:val="a3"/>
        <w:numPr>
          <w:ilvl w:val="0"/>
          <w:numId w:val="5"/>
        </w:numPr>
        <w:spacing w:line="480" w:lineRule="exact"/>
        <w:ind w:leftChars="0" w:hanging="251"/>
        <w:rPr>
          <w:rFonts w:ascii="標楷體" w:eastAsia="標楷體" w:hAnsi="標楷體"/>
          <w:sz w:val="32"/>
          <w:szCs w:val="32"/>
        </w:rPr>
      </w:pPr>
      <w:r w:rsidRPr="00913442">
        <w:rPr>
          <w:rFonts w:ascii="標楷體" w:eastAsia="標楷體" w:hAnsi="標楷體" w:hint="eastAsia"/>
          <w:sz w:val="32"/>
          <w:szCs w:val="32"/>
        </w:rPr>
        <w:t>製作教材</w:t>
      </w:r>
    </w:p>
    <w:p w:rsidR="00913442" w:rsidRPr="00913442" w:rsidRDefault="00913442" w:rsidP="00F25DCE">
      <w:pPr>
        <w:pStyle w:val="a3"/>
        <w:numPr>
          <w:ilvl w:val="0"/>
          <w:numId w:val="8"/>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中央部會（107年12月完成）</w:t>
      </w:r>
    </w:p>
    <w:p w:rsidR="00913442" w:rsidRPr="00913442" w:rsidRDefault="00913442" w:rsidP="00F25DCE">
      <w:pPr>
        <w:spacing w:line="480" w:lineRule="exact"/>
        <w:ind w:leftChars="708" w:left="2125" w:hangingChars="133" w:hanging="426"/>
        <w:rPr>
          <w:rFonts w:ascii="標楷體" w:eastAsia="標楷體" w:hAnsi="標楷體"/>
          <w:sz w:val="32"/>
          <w:szCs w:val="32"/>
        </w:rPr>
      </w:pPr>
      <w:r w:rsidRPr="00913442">
        <w:rPr>
          <w:rFonts w:ascii="標楷體" w:eastAsia="標楷體" w:hAnsi="標楷體" w:hint="eastAsia"/>
          <w:sz w:val="32"/>
          <w:szCs w:val="32"/>
        </w:rPr>
        <w:t>A.中央部會參考法務部出版之「法務部人權秘笈」系列教材，依主管業務範疇，彙整編製與部會業務權責相關之兩公約條文、一般性意見、人權案例分析等作為機關內兩公約人權教育訓練教材。</w:t>
      </w:r>
    </w:p>
    <w:p w:rsidR="00913442" w:rsidRPr="00913442" w:rsidRDefault="00913442" w:rsidP="00F25DCE">
      <w:pPr>
        <w:spacing w:line="480" w:lineRule="exact"/>
        <w:ind w:leftChars="708" w:left="2125" w:hangingChars="133" w:hanging="426"/>
        <w:rPr>
          <w:rFonts w:ascii="標楷體" w:eastAsia="標楷體" w:hAnsi="標楷體"/>
          <w:sz w:val="32"/>
          <w:szCs w:val="32"/>
        </w:rPr>
      </w:pPr>
      <w:r w:rsidRPr="00913442">
        <w:rPr>
          <w:rFonts w:ascii="標楷體" w:eastAsia="標楷體" w:hAnsi="標楷體" w:hint="eastAsia"/>
          <w:sz w:val="32"/>
          <w:szCs w:val="32"/>
        </w:rPr>
        <w:t>B.</w:t>
      </w:r>
      <w:r w:rsidRPr="00913442">
        <w:rPr>
          <w:rFonts w:ascii="標楷體" w:eastAsia="標楷體" w:hAnsi="標楷體" w:hint="eastAsia"/>
          <w:sz w:val="32"/>
          <w:szCs w:val="32"/>
        </w:rPr>
        <w:tab/>
        <w:t>教材內容可參酌兩公約國家報告、兩公約法令檢討案例、人權團體關心議題及新聞報導等，</w:t>
      </w:r>
      <w:proofErr w:type="gramStart"/>
      <w:r w:rsidRPr="00913442">
        <w:rPr>
          <w:rFonts w:ascii="標楷體" w:eastAsia="標楷體" w:hAnsi="標楷體" w:hint="eastAsia"/>
          <w:sz w:val="32"/>
          <w:szCs w:val="32"/>
        </w:rPr>
        <w:t>並應建立相關教材審查機制(</w:t>
      </w:r>
      <w:proofErr w:type="gramEnd"/>
      <w:r w:rsidRPr="00913442">
        <w:rPr>
          <w:rFonts w:ascii="標楷體" w:eastAsia="標楷體" w:hAnsi="標楷體" w:hint="eastAsia"/>
          <w:sz w:val="32"/>
          <w:szCs w:val="32"/>
        </w:rPr>
        <w:t>如邀請專家學者組成教材編纂小組或經人權工作小組審議教材等)，編寫完成後公布於部會網頁，供各直轄市、縣（市）政府參考。</w:t>
      </w:r>
    </w:p>
    <w:p w:rsidR="00913442" w:rsidRPr="00913442" w:rsidRDefault="00913442" w:rsidP="00F25DCE">
      <w:pPr>
        <w:pStyle w:val="a3"/>
        <w:numPr>
          <w:ilvl w:val="0"/>
          <w:numId w:val="8"/>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直轄市、縣（市）政府（108年3月完成）</w:t>
      </w:r>
    </w:p>
    <w:p w:rsidR="00913442" w:rsidRPr="00913442" w:rsidRDefault="00913442" w:rsidP="00F25DCE">
      <w:pPr>
        <w:spacing w:line="480" w:lineRule="exact"/>
        <w:ind w:leftChars="590" w:left="1416"/>
        <w:rPr>
          <w:rFonts w:ascii="標楷體" w:eastAsia="標楷體" w:hAnsi="標楷體"/>
          <w:sz w:val="32"/>
          <w:szCs w:val="32"/>
        </w:rPr>
      </w:pPr>
      <w:r w:rsidRPr="00913442">
        <w:rPr>
          <w:rFonts w:ascii="標楷體" w:eastAsia="標楷體" w:hAnsi="標楷體" w:hint="eastAsia"/>
          <w:sz w:val="32"/>
          <w:szCs w:val="32"/>
        </w:rPr>
        <w:t>各直轄市、縣（市）政府可自製教材或參考各中央部會教材提供所屬機關所需教材，並可融入</w:t>
      </w:r>
      <w:proofErr w:type="gramStart"/>
      <w:r w:rsidRPr="00913442">
        <w:rPr>
          <w:rFonts w:ascii="標楷體" w:eastAsia="標楷體" w:hAnsi="標楷體" w:hint="eastAsia"/>
          <w:sz w:val="32"/>
          <w:szCs w:val="32"/>
        </w:rPr>
        <w:t>地方區求及</w:t>
      </w:r>
      <w:proofErr w:type="gramEnd"/>
      <w:r w:rsidRPr="00913442">
        <w:rPr>
          <w:rFonts w:ascii="標楷體" w:eastAsia="標楷體" w:hAnsi="標楷體" w:hint="eastAsia"/>
          <w:sz w:val="32"/>
          <w:szCs w:val="32"/>
        </w:rPr>
        <w:t>特色。</w:t>
      </w:r>
    </w:p>
    <w:p w:rsidR="00913442" w:rsidRPr="00913442" w:rsidRDefault="00913442" w:rsidP="00F25DCE">
      <w:pPr>
        <w:pStyle w:val="a3"/>
        <w:numPr>
          <w:ilvl w:val="0"/>
          <w:numId w:val="5"/>
        </w:numPr>
        <w:spacing w:line="480" w:lineRule="exact"/>
        <w:ind w:leftChars="0" w:hanging="251"/>
        <w:rPr>
          <w:rFonts w:ascii="標楷體" w:eastAsia="標楷體" w:hAnsi="標楷體"/>
          <w:sz w:val="32"/>
          <w:szCs w:val="32"/>
        </w:rPr>
      </w:pPr>
      <w:r w:rsidRPr="00913442">
        <w:rPr>
          <w:rFonts w:ascii="標楷體" w:eastAsia="標楷體" w:hAnsi="標楷體" w:hint="eastAsia"/>
          <w:sz w:val="32"/>
          <w:szCs w:val="32"/>
        </w:rPr>
        <w:t>訓練方式</w:t>
      </w:r>
    </w:p>
    <w:p w:rsidR="00913442" w:rsidRPr="00913442" w:rsidRDefault="00913442" w:rsidP="00F25DCE">
      <w:pPr>
        <w:pStyle w:val="a3"/>
        <w:numPr>
          <w:ilvl w:val="0"/>
          <w:numId w:val="9"/>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種子師資培訓（108年6月完成）</w:t>
      </w:r>
    </w:p>
    <w:p w:rsidR="00913442" w:rsidRPr="00913442" w:rsidRDefault="00913442" w:rsidP="00F25DCE">
      <w:pPr>
        <w:spacing w:line="480" w:lineRule="exact"/>
        <w:ind w:leftChars="590" w:left="1416"/>
        <w:rPr>
          <w:rFonts w:ascii="標楷體" w:eastAsia="標楷體" w:hAnsi="標楷體"/>
          <w:sz w:val="32"/>
          <w:szCs w:val="32"/>
        </w:rPr>
      </w:pPr>
      <w:r w:rsidRPr="00913442">
        <w:rPr>
          <w:rFonts w:ascii="標楷體" w:eastAsia="標楷體" w:hAnsi="標楷體" w:hint="eastAsia"/>
          <w:sz w:val="32"/>
          <w:szCs w:val="32"/>
        </w:rPr>
        <w:t>中央部會自行培訓兩公約人權教育訓練種子教師，強化種子教師之兩公約人權專業知能、設計與教授課程之能力等，培訓完成後，並將種子師資名單公布於機關網頁，</w:t>
      </w:r>
      <w:proofErr w:type="gramStart"/>
      <w:r w:rsidRPr="00913442">
        <w:rPr>
          <w:rFonts w:ascii="標楷體" w:eastAsia="標楷體" w:hAnsi="標楷體" w:hint="eastAsia"/>
          <w:sz w:val="32"/>
          <w:szCs w:val="32"/>
        </w:rPr>
        <w:t>俾</w:t>
      </w:r>
      <w:proofErr w:type="gramEnd"/>
      <w:r w:rsidRPr="00913442">
        <w:rPr>
          <w:rFonts w:ascii="標楷體" w:eastAsia="標楷體" w:hAnsi="標楷體" w:hint="eastAsia"/>
          <w:sz w:val="32"/>
          <w:szCs w:val="32"/>
        </w:rPr>
        <w:t>供所屬機關及各直轄市、縣（市）政府延聘講師時參酌。各直轄市、縣（市）政府亦可自行培訓種子教師。</w:t>
      </w:r>
    </w:p>
    <w:p w:rsidR="00913442" w:rsidRPr="00913442" w:rsidRDefault="00913442" w:rsidP="00F25DCE">
      <w:pPr>
        <w:pStyle w:val="a3"/>
        <w:numPr>
          <w:ilvl w:val="0"/>
          <w:numId w:val="9"/>
        </w:numPr>
        <w:spacing w:line="480" w:lineRule="exact"/>
        <w:ind w:leftChars="0" w:firstLine="513"/>
        <w:rPr>
          <w:rFonts w:ascii="標楷體" w:eastAsia="標楷體" w:hAnsi="標楷體"/>
          <w:sz w:val="32"/>
          <w:szCs w:val="32"/>
        </w:rPr>
      </w:pPr>
      <w:r w:rsidRPr="00913442">
        <w:rPr>
          <w:rFonts w:ascii="標楷體" w:eastAsia="標楷體" w:hAnsi="標楷體" w:hint="eastAsia"/>
          <w:sz w:val="32"/>
          <w:szCs w:val="32"/>
        </w:rPr>
        <w:t>人權教育訓練推動（108年7月至109年）</w:t>
      </w:r>
    </w:p>
    <w:p w:rsidR="00913442" w:rsidRPr="00913442" w:rsidRDefault="00913442" w:rsidP="00F25DCE">
      <w:pPr>
        <w:spacing w:line="480" w:lineRule="exact"/>
        <w:ind w:leftChars="590" w:left="1416"/>
        <w:rPr>
          <w:rFonts w:ascii="標楷體" w:eastAsia="標楷體" w:hAnsi="標楷體"/>
          <w:sz w:val="32"/>
          <w:szCs w:val="32"/>
        </w:rPr>
      </w:pPr>
      <w:r w:rsidRPr="00913442">
        <w:rPr>
          <w:rFonts w:ascii="標楷體" w:eastAsia="標楷體" w:hAnsi="標楷體" w:hint="eastAsia"/>
          <w:sz w:val="32"/>
          <w:szCs w:val="32"/>
        </w:rPr>
        <w:t>各級政府機關應辦理人權教育訓練，並由種子教師、人權專家學者、民間團體中</w:t>
      </w:r>
      <w:proofErr w:type="gramStart"/>
      <w:r w:rsidRPr="00913442">
        <w:rPr>
          <w:rFonts w:ascii="標楷體" w:eastAsia="標楷體" w:hAnsi="標楷體" w:hint="eastAsia"/>
          <w:sz w:val="32"/>
          <w:szCs w:val="32"/>
        </w:rPr>
        <w:t>遴</w:t>
      </w:r>
      <w:proofErr w:type="gramEnd"/>
      <w:r w:rsidRPr="00913442">
        <w:rPr>
          <w:rFonts w:ascii="標楷體" w:eastAsia="標楷體" w:hAnsi="標楷體" w:hint="eastAsia"/>
          <w:sz w:val="32"/>
          <w:szCs w:val="32"/>
        </w:rPr>
        <w:t>聘人選擔任講座，訓練以</w:t>
      </w:r>
      <w:proofErr w:type="gramStart"/>
      <w:r w:rsidRPr="00913442">
        <w:rPr>
          <w:rFonts w:ascii="標楷體" w:eastAsia="標楷體" w:hAnsi="標楷體" w:hint="eastAsia"/>
          <w:sz w:val="32"/>
          <w:szCs w:val="32"/>
        </w:rPr>
        <w:t>採</w:t>
      </w:r>
      <w:proofErr w:type="gramEnd"/>
      <w:r w:rsidRPr="00913442">
        <w:rPr>
          <w:rFonts w:ascii="標楷體" w:eastAsia="標楷體" w:hAnsi="標楷體" w:hint="eastAsia"/>
          <w:sz w:val="32"/>
          <w:szCs w:val="32"/>
        </w:rPr>
        <w:t>小班制（50人以下）方式進行並以小組問答討論、案例研討分析、視聽教材、工作坊等方式進行，深入探討如何改善或避免人權侵害案件之發生，提升運用兩公約於</w:t>
      </w:r>
      <w:proofErr w:type="gramStart"/>
      <w:r w:rsidRPr="00913442">
        <w:rPr>
          <w:rFonts w:ascii="標楷體" w:eastAsia="標楷體" w:hAnsi="標楷體" w:hint="eastAsia"/>
          <w:sz w:val="32"/>
          <w:szCs w:val="32"/>
        </w:rPr>
        <w:t>研</w:t>
      </w:r>
      <w:proofErr w:type="gramEnd"/>
      <w:r w:rsidRPr="00913442">
        <w:rPr>
          <w:rFonts w:ascii="標楷體" w:eastAsia="標楷體" w:hAnsi="標楷體" w:hint="eastAsia"/>
          <w:sz w:val="32"/>
          <w:szCs w:val="32"/>
        </w:rPr>
        <w:t>擬計畫案、法案及業務推動之能力。</w:t>
      </w:r>
    </w:p>
    <w:p w:rsidR="00913442" w:rsidRPr="00F25DCE" w:rsidRDefault="00913442" w:rsidP="00F25DCE">
      <w:pPr>
        <w:pStyle w:val="a3"/>
        <w:numPr>
          <w:ilvl w:val="0"/>
          <w:numId w:val="2"/>
        </w:numPr>
        <w:spacing w:line="480" w:lineRule="exact"/>
        <w:ind w:leftChars="0"/>
        <w:rPr>
          <w:rFonts w:ascii="標楷體" w:eastAsia="標楷體" w:hAnsi="標楷體"/>
          <w:b/>
          <w:sz w:val="32"/>
          <w:szCs w:val="32"/>
        </w:rPr>
      </w:pPr>
      <w:r w:rsidRPr="00F25DCE">
        <w:rPr>
          <w:rFonts w:ascii="標楷體" w:eastAsia="標楷體" w:hAnsi="標楷體" w:hint="eastAsia"/>
          <w:b/>
          <w:sz w:val="32"/>
          <w:szCs w:val="32"/>
        </w:rPr>
        <w:t>成效評核</w:t>
      </w:r>
    </w:p>
    <w:p w:rsidR="00913442" w:rsidRDefault="00913442" w:rsidP="00F25DCE">
      <w:pPr>
        <w:spacing w:line="480" w:lineRule="exact"/>
        <w:ind w:leftChars="294" w:left="706" w:firstLine="2"/>
        <w:rPr>
          <w:rFonts w:ascii="標楷體" w:eastAsia="標楷體" w:hAnsi="標楷體"/>
          <w:sz w:val="32"/>
          <w:szCs w:val="32"/>
        </w:rPr>
      </w:pPr>
      <w:r w:rsidRPr="00913442">
        <w:rPr>
          <w:rFonts w:ascii="標楷體" w:eastAsia="標楷體" w:hAnsi="標楷體" w:hint="eastAsia"/>
          <w:sz w:val="32"/>
          <w:szCs w:val="32"/>
        </w:rPr>
        <w:t>為評估各級政府機關辦理兩公約人權教育訓練之成效，</w:t>
      </w:r>
      <w:proofErr w:type="gramStart"/>
      <w:r w:rsidRPr="00913442">
        <w:rPr>
          <w:rFonts w:ascii="標楷體" w:eastAsia="標楷體" w:hAnsi="標楷體" w:hint="eastAsia"/>
          <w:sz w:val="32"/>
          <w:szCs w:val="32"/>
        </w:rPr>
        <w:t>採</w:t>
      </w:r>
      <w:proofErr w:type="gramEnd"/>
      <w:r w:rsidRPr="00913442">
        <w:rPr>
          <w:rFonts w:ascii="標楷體" w:eastAsia="標楷體" w:hAnsi="標楷體" w:hint="eastAsia"/>
          <w:sz w:val="32"/>
          <w:szCs w:val="32"/>
        </w:rPr>
        <w:t>量化及質化評估方式進行評核。法務部並得不定期前往各級政府機關辦理稽核：</w:t>
      </w:r>
    </w:p>
    <w:p w:rsidR="00F25DCE" w:rsidRPr="00913442" w:rsidRDefault="00F25DCE" w:rsidP="00F25DCE">
      <w:pPr>
        <w:spacing w:line="480" w:lineRule="exact"/>
        <w:ind w:leftChars="294" w:left="706" w:firstLine="2"/>
        <w:rPr>
          <w:rFonts w:ascii="標楷體" w:eastAsia="標楷體" w:hAnsi="標楷體"/>
          <w:sz w:val="32"/>
          <w:szCs w:val="32"/>
        </w:rPr>
      </w:pPr>
    </w:p>
    <w:p w:rsidR="00913442" w:rsidRPr="00913442" w:rsidRDefault="00913442" w:rsidP="00F25DCE">
      <w:pPr>
        <w:pStyle w:val="a3"/>
        <w:numPr>
          <w:ilvl w:val="0"/>
          <w:numId w:val="10"/>
        </w:numPr>
        <w:spacing w:line="480" w:lineRule="exact"/>
        <w:ind w:leftChars="0" w:hanging="251"/>
        <w:rPr>
          <w:rFonts w:ascii="標楷體" w:eastAsia="標楷體" w:hAnsi="標楷體"/>
          <w:sz w:val="32"/>
          <w:szCs w:val="32"/>
        </w:rPr>
      </w:pPr>
      <w:r w:rsidRPr="00913442">
        <w:rPr>
          <w:rFonts w:ascii="標楷體" w:eastAsia="標楷體" w:hAnsi="標楷體" w:hint="eastAsia"/>
          <w:sz w:val="32"/>
          <w:szCs w:val="32"/>
        </w:rPr>
        <w:t>兩公約人權教育訓練</w:t>
      </w:r>
      <w:proofErr w:type="gramStart"/>
      <w:r w:rsidRPr="00913442">
        <w:rPr>
          <w:rFonts w:ascii="標楷體" w:eastAsia="標楷體" w:hAnsi="標楷體" w:hint="eastAsia"/>
          <w:sz w:val="32"/>
          <w:szCs w:val="32"/>
        </w:rPr>
        <w:t>課程參訓率</w:t>
      </w:r>
      <w:proofErr w:type="gramEnd"/>
      <w:r w:rsidRPr="00913442">
        <w:rPr>
          <w:rFonts w:ascii="標楷體" w:eastAsia="標楷體" w:hAnsi="標楷體" w:hint="eastAsia"/>
          <w:sz w:val="32"/>
          <w:szCs w:val="32"/>
        </w:rPr>
        <w:t>(%)：</w:t>
      </w:r>
    </w:p>
    <w:p w:rsidR="00913442" w:rsidRPr="00913442" w:rsidRDefault="00913442" w:rsidP="00F25DCE">
      <w:pPr>
        <w:spacing w:line="480" w:lineRule="exact"/>
        <w:ind w:leftChars="590" w:left="1416"/>
        <w:rPr>
          <w:rFonts w:ascii="標楷體" w:eastAsia="標楷體" w:hAnsi="標楷體"/>
          <w:sz w:val="32"/>
          <w:szCs w:val="32"/>
        </w:rPr>
      </w:pPr>
      <w:r w:rsidRPr="00913442">
        <w:rPr>
          <w:rFonts w:ascii="標楷體" w:eastAsia="標楷體" w:hAnsi="標楷體" w:hint="eastAsia"/>
          <w:sz w:val="32"/>
          <w:szCs w:val="32"/>
        </w:rPr>
        <w:t>各級</w:t>
      </w:r>
      <w:r w:rsidR="006F22E2">
        <w:rPr>
          <w:rFonts w:ascii="標楷體" w:eastAsia="標楷體" w:hAnsi="標楷體" w:hint="eastAsia"/>
          <w:sz w:val="32"/>
          <w:szCs w:val="32"/>
        </w:rPr>
        <w:t>政府</w:t>
      </w:r>
      <w:r w:rsidRPr="00913442">
        <w:rPr>
          <w:rFonts w:ascii="標楷體" w:eastAsia="標楷體" w:hAnsi="標楷體" w:hint="eastAsia"/>
          <w:sz w:val="32"/>
          <w:szCs w:val="32"/>
        </w:rPr>
        <w:t>機關公務人員108年7月至109年12月受訓覆蓋率</w:t>
      </w:r>
      <w:r w:rsidR="00F25DCE">
        <w:rPr>
          <w:rStyle w:val="a6"/>
          <w:rFonts w:ascii="標楷體" w:eastAsia="標楷體" w:hAnsi="標楷體"/>
          <w:sz w:val="32"/>
          <w:szCs w:val="32"/>
        </w:rPr>
        <w:footnoteReference w:id="2"/>
      </w:r>
      <w:r w:rsidRPr="00913442">
        <w:rPr>
          <w:rFonts w:ascii="標楷體" w:eastAsia="標楷體" w:hAnsi="標楷體" w:hint="eastAsia"/>
          <w:sz w:val="32"/>
          <w:szCs w:val="32"/>
        </w:rPr>
        <w:t>達60% (含實體、數位課程，每人至少2小時)，且實體課程受訓比率須達40%。</w:t>
      </w:r>
    </w:p>
    <w:p w:rsidR="00913442" w:rsidRPr="00913442" w:rsidRDefault="00913442" w:rsidP="00F25DCE">
      <w:pPr>
        <w:pStyle w:val="a3"/>
        <w:numPr>
          <w:ilvl w:val="0"/>
          <w:numId w:val="10"/>
        </w:numPr>
        <w:spacing w:line="480" w:lineRule="exact"/>
        <w:ind w:leftChars="0" w:hanging="251"/>
        <w:rPr>
          <w:rFonts w:ascii="標楷體" w:eastAsia="標楷體" w:hAnsi="標楷體"/>
          <w:sz w:val="32"/>
          <w:szCs w:val="32"/>
        </w:rPr>
      </w:pPr>
      <w:proofErr w:type="gramStart"/>
      <w:r w:rsidRPr="00913442">
        <w:rPr>
          <w:rFonts w:ascii="標楷體" w:eastAsia="標楷體" w:hAnsi="標楷體" w:hint="eastAsia"/>
          <w:sz w:val="32"/>
          <w:szCs w:val="32"/>
        </w:rPr>
        <w:t>參訓者</w:t>
      </w:r>
      <w:proofErr w:type="gramEnd"/>
      <w:r w:rsidRPr="00913442">
        <w:rPr>
          <w:rFonts w:ascii="標楷體" w:eastAsia="標楷體" w:hAnsi="標楷體" w:hint="eastAsia"/>
          <w:sz w:val="32"/>
          <w:szCs w:val="32"/>
        </w:rPr>
        <w:t>學習成效評估（含滿意度調查）：</w:t>
      </w:r>
    </w:p>
    <w:p w:rsidR="00913442" w:rsidRPr="00913442" w:rsidRDefault="00913442" w:rsidP="00F25DCE">
      <w:pPr>
        <w:spacing w:line="480" w:lineRule="exact"/>
        <w:ind w:leftChars="590" w:left="1416"/>
        <w:rPr>
          <w:rFonts w:ascii="標楷體" w:eastAsia="標楷體" w:hAnsi="標楷體"/>
          <w:sz w:val="32"/>
          <w:szCs w:val="32"/>
        </w:rPr>
      </w:pPr>
      <w:r w:rsidRPr="00913442">
        <w:rPr>
          <w:rFonts w:ascii="標楷體" w:eastAsia="標楷體" w:hAnsi="標楷體" w:hint="eastAsia"/>
          <w:sz w:val="32"/>
          <w:szCs w:val="32"/>
        </w:rPr>
        <w:t>為</w:t>
      </w:r>
      <w:proofErr w:type="gramStart"/>
      <w:r w:rsidRPr="00913442">
        <w:rPr>
          <w:rFonts w:ascii="標楷體" w:eastAsia="標楷體" w:hAnsi="標楷體" w:hint="eastAsia"/>
          <w:sz w:val="32"/>
          <w:szCs w:val="32"/>
        </w:rPr>
        <w:t>評估參訓者</w:t>
      </w:r>
      <w:proofErr w:type="gramEnd"/>
      <w:r w:rsidRPr="00913442">
        <w:rPr>
          <w:rFonts w:ascii="標楷體" w:eastAsia="標楷體" w:hAnsi="標楷體" w:hint="eastAsia"/>
          <w:sz w:val="32"/>
          <w:szCs w:val="32"/>
        </w:rPr>
        <w:t>對兩公約人權知識之吸收程度及訓練之有效性及滿意程度，各級政府機關</w:t>
      </w:r>
      <w:proofErr w:type="gramStart"/>
      <w:r w:rsidRPr="00913442">
        <w:rPr>
          <w:rFonts w:ascii="標楷體" w:eastAsia="標楷體" w:hAnsi="標楷體" w:hint="eastAsia"/>
          <w:sz w:val="32"/>
          <w:szCs w:val="32"/>
        </w:rPr>
        <w:t>對參訓人員</w:t>
      </w:r>
      <w:proofErr w:type="gramEnd"/>
      <w:r w:rsidRPr="00913442">
        <w:rPr>
          <w:rFonts w:ascii="標楷體" w:eastAsia="標楷體" w:hAnsi="標楷體" w:hint="eastAsia"/>
          <w:sz w:val="32"/>
          <w:szCs w:val="32"/>
        </w:rPr>
        <w:t>應施以問卷並進行測驗。108年7月至109年12月實體及數位課程訓後成效測驗之平均分數達75分。</w:t>
      </w:r>
    </w:p>
    <w:p w:rsidR="00913442" w:rsidRPr="00913442" w:rsidRDefault="00913442" w:rsidP="00F25DCE">
      <w:pPr>
        <w:pStyle w:val="a3"/>
        <w:numPr>
          <w:ilvl w:val="0"/>
          <w:numId w:val="10"/>
        </w:numPr>
        <w:spacing w:line="480" w:lineRule="exact"/>
        <w:ind w:leftChars="0" w:hanging="251"/>
        <w:rPr>
          <w:rFonts w:ascii="標楷體" w:eastAsia="標楷體" w:hAnsi="標楷體"/>
          <w:sz w:val="32"/>
          <w:szCs w:val="32"/>
        </w:rPr>
      </w:pPr>
      <w:r w:rsidRPr="00913442">
        <w:rPr>
          <w:rFonts w:ascii="標楷體" w:eastAsia="標楷體" w:hAnsi="標楷體" w:hint="eastAsia"/>
          <w:sz w:val="32"/>
          <w:szCs w:val="32"/>
        </w:rPr>
        <w:t>撰寫評核報告</w:t>
      </w:r>
    </w:p>
    <w:p w:rsidR="00913442" w:rsidRPr="00913442" w:rsidRDefault="00913442" w:rsidP="00F25DCE">
      <w:pPr>
        <w:spacing w:line="480" w:lineRule="exact"/>
        <w:ind w:leftChars="590" w:left="1416"/>
        <w:rPr>
          <w:rFonts w:ascii="標楷體" w:eastAsia="標楷體" w:hAnsi="標楷體"/>
          <w:sz w:val="32"/>
          <w:szCs w:val="32"/>
        </w:rPr>
      </w:pPr>
      <w:r w:rsidRPr="00913442">
        <w:rPr>
          <w:rFonts w:ascii="標楷體" w:eastAsia="標楷體" w:hAnsi="標楷體" w:hint="eastAsia"/>
          <w:sz w:val="32"/>
          <w:szCs w:val="32"/>
        </w:rPr>
        <w:t>各級政府機關就製作兩公約人權教育教材、培訓種子師資及人權教育訓練推動成效等撰寫評核報告（報告格式由法務部另行提供），並於110年2月底前函報法務部彙整。</w:t>
      </w:r>
    </w:p>
    <w:p w:rsidR="00913442" w:rsidRPr="00F25DCE" w:rsidRDefault="00913442" w:rsidP="00F25DCE">
      <w:pPr>
        <w:pStyle w:val="a3"/>
        <w:numPr>
          <w:ilvl w:val="0"/>
          <w:numId w:val="2"/>
        </w:numPr>
        <w:spacing w:line="480" w:lineRule="exact"/>
        <w:ind w:leftChars="0"/>
        <w:rPr>
          <w:rFonts w:ascii="標楷體" w:eastAsia="標楷體" w:hAnsi="標楷體"/>
          <w:b/>
          <w:sz w:val="32"/>
          <w:szCs w:val="32"/>
        </w:rPr>
      </w:pPr>
      <w:r w:rsidRPr="00F25DCE">
        <w:rPr>
          <w:rFonts w:ascii="標楷體" w:eastAsia="標楷體" w:hAnsi="標楷體" w:hint="eastAsia"/>
          <w:b/>
          <w:sz w:val="32"/>
          <w:szCs w:val="32"/>
        </w:rPr>
        <w:t>獎勵措施</w:t>
      </w:r>
    </w:p>
    <w:p w:rsidR="00913442" w:rsidRPr="00913442" w:rsidRDefault="00913442" w:rsidP="00F25DCE">
      <w:pPr>
        <w:spacing w:line="480" w:lineRule="exact"/>
        <w:ind w:leftChars="295" w:left="708"/>
        <w:rPr>
          <w:rFonts w:ascii="標楷體" w:eastAsia="標楷體" w:hAnsi="標楷體"/>
          <w:sz w:val="32"/>
          <w:szCs w:val="32"/>
        </w:rPr>
      </w:pPr>
      <w:r w:rsidRPr="00913442">
        <w:rPr>
          <w:rFonts w:ascii="標楷體" w:eastAsia="標楷體" w:hAnsi="標楷體" w:hint="eastAsia"/>
          <w:sz w:val="32"/>
          <w:szCs w:val="32"/>
        </w:rPr>
        <w:t>各級政府機關編製教材、培訓種子師資成效良好者或辦理教育訓練達成年度目標者，將另函請機關予相關人員酌情敘獎。</w:t>
      </w:r>
    </w:p>
    <w:p w:rsidR="00913442" w:rsidRPr="00F25DCE" w:rsidRDefault="00913442" w:rsidP="00F25DCE">
      <w:pPr>
        <w:pStyle w:val="a3"/>
        <w:numPr>
          <w:ilvl w:val="0"/>
          <w:numId w:val="2"/>
        </w:numPr>
        <w:spacing w:line="480" w:lineRule="exact"/>
        <w:ind w:leftChars="0"/>
        <w:rPr>
          <w:rFonts w:ascii="標楷體" w:eastAsia="標楷體" w:hAnsi="標楷體"/>
          <w:b/>
          <w:sz w:val="32"/>
          <w:szCs w:val="32"/>
        </w:rPr>
      </w:pPr>
      <w:r w:rsidRPr="00F25DCE">
        <w:rPr>
          <w:rFonts w:ascii="標楷體" w:eastAsia="標楷體" w:hAnsi="標楷體" w:hint="eastAsia"/>
          <w:b/>
          <w:sz w:val="32"/>
          <w:szCs w:val="32"/>
        </w:rPr>
        <w:t>經費：</w:t>
      </w:r>
    </w:p>
    <w:p w:rsidR="00913442" w:rsidRPr="00913442" w:rsidRDefault="00913442" w:rsidP="00F25DCE">
      <w:pPr>
        <w:spacing w:line="480" w:lineRule="exact"/>
        <w:ind w:leftChars="295" w:left="708"/>
        <w:rPr>
          <w:rFonts w:ascii="標楷體" w:eastAsia="標楷體" w:hAnsi="標楷體"/>
          <w:sz w:val="32"/>
          <w:szCs w:val="32"/>
        </w:rPr>
      </w:pPr>
      <w:r w:rsidRPr="00913442">
        <w:rPr>
          <w:rFonts w:ascii="標楷體" w:eastAsia="標楷體" w:hAnsi="標楷體" w:hint="eastAsia"/>
          <w:sz w:val="32"/>
          <w:szCs w:val="32"/>
        </w:rPr>
        <w:t>由各機關編列經費支應。</w:t>
      </w:r>
    </w:p>
    <w:p w:rsidR="00913442" w:rsidRPr="00F25DCE" w:rsidRDefault="00913442" w:rsidP="00F25DCE">
      <w:pPr>
        <w:pStyle w:val="a3"/>
        <w:numPr>
          <w:ilvl w:val="0"/>
          <w:numId w:val="2"/>
        </w:numPr>
        <w:spacing w:line="480" w:lineRule="exact"/>
        <w:ind w:leftChars="0"/>
        <w:rPr>
          <w:rFonts w:ascii="標楷體" w:eastAsia="標楷體" w:hAnsi="標楷體"/>
          <w:b/>
          <w:sz w:val="32"/>
          <w:szCs w:val="32"/>
        </w:rPr>
      </w:pPr>
      <w:r w:rsidRPr="00F25DCE">
        <w:rPr>
          <w:rFonts w:ascii="標楷體" w:eastAsia="標楷體" w:hAnsi="標楷體" w:hint="eastAsia"/>
          <w:b/>
          <w:sz w:val="32"/>
          <w:szCs w:val="32"/>
        </w:rPr>
        <w:t>本計畫經提報行政院人權保障推動小組委員會議討論決議後實施，修正亦同。</w:t>
      </w:r>
    </w:p>
    <w:p w:rsidR="00092FFF" w:rsidRPr="00913442" w:rsidRDefault="00092FFF" w:rsidP="00913442">
      <w:pPr>
        <w:spacing w:line="480" w:lineRule="exact"/>
        <w:rPr>
          <w:rFonts w:ascii="標楷體" w:eastAsia="標楷體" w:hAnsi="標楷體"/>
          <w:sz w:val="32"/>
          <w:szCs w:val="32"/>
        </w:rPr>
      </w:pPr>
    </w:p>
    <w:sectPr w:rsidR="00092FFF" w:rsidRPr="0091344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39" w:rsidRDefault="00974B39" w:rsidP="00913442">
      <w:r>
        <w:separator/>
      </w:r>
    </w:p>
  </w:endnote>
  <w:endnote w:type="continuationSeparator" w:id="0">
    <w:p w:rsidR="00974B39" w:rsidRDefault="00974B39" w:rsidP="0091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39" w:rsidRDefault="00974B39" w:rsidP="00913442">
      <w:r>
        <w:separator/>
      </w:r>
    </w:p>
  </w:footnote>
  <w:footnote w:type="continuationSeparator" w:id="0">
    <w:p w:rsidR="00974B39" w:rsidRDefault="00974B39" w:rsidP="00913442">
      <w:r>
        <w:continuationSeparator/>
      </w:r>
    </w:p>
  </w:footnote>
  <w:footnote w:id="1">
    <w:p w:rsidR="00913442" w:rsidRDefault="00913442">
      <w:pPr>
        <w:pStyle w:val="a4"/>
      </w:pPr>
      <w:r w:rsidRPr="00913442">
        <w:rPr>
          <w:rStyle w:val="a6"/>
          <w:rFonts w:ascii="標楷體" w:eastAsia="標楷體" w:hAnsi="標楷體"/>
        </w:rPr>
        <w:footnoteRef/>
      </w:r>
      <w:r w:rsidRPr="00913442">
        <w:rPr>
          <w:rFonts w:ascii="標楷體" w:eastAsia="標楷體" w:hAnsi="標楷體" w:hint="eastAsia"/>
        </w:rPr>
        <w:t>本計畫所稱公務人員係指</w:t>
      </w:r>
      <w:r w:rsidRPr="00913442">
        <w:rPr>
          <w:rFonts w:ascii="標楷體" w:eastAsia="標楷體" w:hAnsi="標楷體" w:hint="eastAsia"/>
        </w:rPr>
        <w:tab/>
        <w:t>行政院及所屬機關學校推動公務人員終身學習實施要點第2點所稱之人員。該要點2點規定：「本要點適用對象為本院及所屬各機關（構）、學校（以下簡稱各機關 ）</w:t>
      </w:r>
      <w:r w:rsidRPr="00F25DCE">
        <w:rPr>
          <w:rFonts w:ascii="標楷體" w:eastAsia="標楷體" w:hAnsi="標楷體" w:hint="eastAsia"/>
        </w:rPr>
        <w:t>之下列人員：（一）依法任用、派用之有給專任人員。（二）依法聘任、聘用及僱用人員。（三）公務人員考試錄取人員。 前項機構不包括公營事業機構；前項第二款人員，不包括公立學校教    師。」</w:t>
      </w:r>
    </w:p>
  </w:footnote>
  <w:footnote w:id="2">
    <w:p w:rsidR="00F25DCE" w:rsidRPr="00F25DCE" w:rsidRDefault="00F25DCE">
      <w:pPr>
        <w:pStyle w:val="a4"/>
        <w:rPr>
          <w:rFonts w:ascii="標楷體" w:eastAsia="標楷體" w:hAnsi="標楷體"/>
        </w:rPr>
      </w:pPr>
      <w:r w:rsidRPr="00F25DCE">
        <w:rPr>
          <w:rStyle w:val="a6"/>
          <w:rFonts w:ascii="標楷體" w:eastAsia="標楷體" w:hAnsi="標楷體"/>
        </w:rPr>
        <w:footnoteRef/>
      </w:r>
      <w:r>
        <w:rPr>
          <w:rFonts w:ascii="標楷體" w:eastAsia="標楷體" w:hAnsi="標楷體"/>
        </w:rPr>
        <w:t xml:space="preserve"> </w:t>
      </w:r>
      <w:proofErr w:type="gramStart"/>
      <w:r w:rsidRPr="00F25DCE">
        <w:rPr>
          <w:rFonts w:ascii="標楷體" w:eastAsia="標楷體" w:hAnsi="標楷體" w:hint="eastAsia"/>
        </w:rPr>
        <w:t>覆蓋率係指</w:t>
      </w:r>
      <w:proofErr w:type="gramEnd"/>
      <w:r w:rsidRPr="00F25DCE">
        <w:rPr>
          <w:rFonts w:ascii="標楷體" w:eastAsia="標楷體" w:hAnsi="標楷體" w:hint="eastAsia"/>
        </w:rPr>
        <w:t>各級政府機關實際受訓人數除以現有員額。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7B2"/>
    <w:multiLevelType w:val="hybridMultilevel"/>
    <w:tmpl w:val="3E6C43B2"/>
    <w:lvl w:ilvl="0" w:tplc="A7D065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E12EAD"/>
    <w:multiLevelType w:val="hybridMultilevel"/>
    <w:tmpl w:val="8BE67BEC"/>
    <w:lvl w:ilvl="0" w:tplc="9B22D83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AC7782"/>
    <w:multiLevelType w:val="hybridMultilevel"/>
    <w:tmpl w:val="3E6C43B2"/>
    <w:lvl w:ilvl="0" w:tplc="A7D065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413580"/>
    <w:multiLevelType w:val="hybridMultilevel"/>
    <w:tmpl w:val="29D08514"/>
    <w:lvl w:ilvl="0" w:tplc="3BC41E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FA5036"/>
    <w:multiLevelType w:val="hybridMultilevel"/>
    <w:tmpl w:val="D4CAD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5EE1FFC"/>
    <w:multiLevelType w:val="hybridMultilevel"/>
    <w:tmpl w:val="4B2AEF72"/>
    <w:lvl w:ilvl="0" w:tplc="C8003F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70878CC"/>
    <w:multiLevelType w:val="hybridMultilevel"/>
    <w:tmpl w:val="8BE67BEC"/>
    <w:lvl w:ilvl="0" w:tplc="9B22D838">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866F5C"/>
    <w:multiLevelType w:val="hybridMultilevel"/>
    <w:tmpl w:val="3E6C43B2"/>
    <w:lvl w:ilvl="0" w:tplc="A7D065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5753D7C"/>
    <w:multiLevelType w:val="hybridMultilevel"/>
    <w:tmpl w:val="3148E326"/>
    <w:lvl w:ilvl="0" w:tplc="5DCE3F0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C40510"/>
    <w:multiLevelType w:val="hybridMultilevel"/>
    <w:tmpl w:val="3E6C43B2"/>
    <w:lvl w:ilvl="0" w:tplc="A7D0658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8"/>
  </w:num>
  <w:num w:numId="5">
    <w:abstractNumId w:val="1"/>
  </w:num>
  <w:num w:numId="6">
    <w:abstractNumId w:val="2"/>
  </w:num>
  <w:num w:numId="7">
    <w:abstractNumId w:val="0"/>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42"/>
    <w:rsid w:val="00092FFF"/>
    <w:rsid w:val="003C0369"/>
    <w:rsid w:val="00604FEE"/>
    <w:rsid w:val="006F22E2"/>
    <w:rsid w:val="00805F2F"/>
    <w:rsid w:val="00913442"/>
    <w:rsid w:val="00974B39"/>
    <w:rsid w:val="00AD11EE"/>
    <w:rsid w:val="00B20F6E"/>
    <w:rsid w:val="00F25DCE"/>
    <w:rsid w:val="00F97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442"/>
    <w:pPr>
      <w:ind w:leftChars="200" w:left="480"/>
    </w:pPr>
  </w:style>
  <w:style w:type="paragraph" w:styleId="a4">
    <w:name w:val="footnote text"/>
    <w:basedOn w:val="a"/>
    <w:link w:val="a5"/>
    <w:uiPriority w:val="99"/>
    <w:semiHidden/>
    <w:unhideWhenUsed/>
    <w:rsid w:val="00913442"/>
    <w:pPr>
      <w:snapToGrid w:val="0"/>
    </w:pPr>
    <w:rPr>
      <w:sz w:val="20"/>
      <w:szCs w:val="20"/>
    </w:rPr>
  </w:style>
  <w:style w:type="character" w:customStyle="1" w:styleId="a5">
    <w:name w:val="註腳文字 字元"/>
    <w:basedOn w:val="a0"/>
    <w:link w:val="a4"/>
    <w:uiPriority w:val="99"/>
    <w:semiHidden/>
    <w:rsid w:val="00913442"/>
    <w:rPr>
      <w:sz w:val="20"/>
      <w:szCs w:val="20"/>
    </w:rPr>
  </w:style>
  <w:style w:type="character" w:styleId="a6">
    <w:name w:val="footnote reference"/>
    <w:basedOn w:val="a0"/>
    <w:uiPriority w:val="99"/>
    <w:semiHidden/>
    <w:unhideWhenUsed/>
    <w:rsid w:val="00913442"/>
    <w:rPr>
      <w:vertAlign w:val="superscript"/>
    </w:rPr>
  </w:style>
  <w:style w:type="paragraph" w:styleId="a7">
    <w:name w:val="header"/>
    <w:basedOn w:val="a"/>
    <w:link w:val="a8"/>
    <w:uiPriority w:val="99"/>
    <w:unhideWhenUsed/>
    <w:rsid w:val="00F97915"/>
    <w:pPr>
      <w:tabs>
        <w:tab w:val="center" w:pos="4153"/>
        <w:tab w:val="right" w:pos="8306"/>
      </w:tabs>
      <w:snapToGrid w:val="0"/>
    </w:pPr>
    <w:rPr>
      <w:sz w:val="20"/>
      <w:szCs w:val="20"/>
    </w:rPr>
  </w:style>
  <w:style w:type="character" w:customStyle="1" w:styleId="a8">
    <w:name w:val="頁首 字元"/>
    <w:basedOn w:val="a0"/>
    <w:link w:val="a7"/>
    <w:uiPriority w:val="99"/>
    <w:rsid w:val="00F97915"/>
    <w:rPr>
      <w:sz w:val="20"/>
      <w:szCs w:val="20"/>
    </w:rPr>
  </w:style>
  <w:style w:type="paragraph" w:styleId="a9">
    <w:name w:val="footer"/>
    <w:basedOn w:val="a"/>
    <w:link w:val="aa"/>
    <w:uiPriority w:val="99"/>
    <w:unhideWhenUsed/>
    <w:rsid w:val="00F97915"/>
    <w:pPr>
      <w:tabs>
        <w:tab w:val="center" w:pos="4153"/>
        <w:tab w:val="right" w:pos="8306"/>
      </w:tabs>
      <w:snapToGrid w:val="0"/>
    </w:pPr>
    <w:rPr>
      <w:sz w:val="20"/>
      <w:szCs w:val="20"/>
    </w:rPr>
  </w:style>
  <w:style w:type="character" w:customStyle="1" w:styleId="aa">
    <w:name w:val="頁尾 字元"/>
    <w:basedOn w:val="a0"/>
    <w:link w:val="a9"/>
    <w:uiPriority w:val="99"/>
    <w:rsid w:val="00F97915"/>
    <w:rPr>
      <w:sz w:val="20"/>
      <w:szCs w:val="20"/>
    </w:rPr>
  </w:style>
  <w:style w:type="paragraph" w:styleId="ab">
    <w:name w:val="Balloon Text"/>
    <w:basedOn w:val="a"/>
    <w:link w:val="ac"/>
    <w:uiPriority w:val="99"/>
    <w:semiHidden/>
    <w:unhideWhenUsed/>
    <w:rsid w:val="00F9791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979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442"/>
    <w:pPr>
      <w:ind w:leftChars="200" w:left="480"/>
    </w:pPr>
  </w:style>
  <w:style w:type="paragraph" w:styleId="a4">
    <w:name w:val="footnote text"/>
    <w:basedOn w:val="a"/>
    <w:link w:val="a5"/>
    <w:uiPriority w:val="99"/>
    <w:semiHidden/>
    <w:unhideWhenUsed/>
    <w:rsid w:val="00913442"/>
    <w:pPr>
      <w:snapToGrid w:val="0"/>
    </w:pPr>
    <w:rPr>
      <w:sz w:val="20"/>
      <w:szCs w:val="20"/>
    </w:rPr>
  </w:style>
  <w:style w:type="character" w:customStyle="1" w:styleId="a5">
    <w:name w:val="註腳文字 字元"/>
    <w:basedOn w:val="a0"/>
    <w:link w:val="a4"/>
    <w:uiPriority w:val="99"/>
    <w:semiHidden/>
    <w:rsid w:val="00913442"/>
    <w:rPr>
      <w:sz w:val="20"/>
      <w:szCs w:val="20"/>
    </w:rPr>
  </w:style>
  <w:style w:type="character" w:styleId="a6">
    <w:name w:val="footnote reference"/>
    <w:basedOn w:val="a0"/>
    <w:uiPriority w:val="99"/>
    <w:semiHidden/>
    <w:unhideWhenUsed/>
    <w:rsid w:val="00913442"/>
    <w:rPr>
      <w:vertAlign w:val="superscript"/>
    </w:rPr>
  </w:style>
  <w:style w:type="paragraph" w:styleId="a7">
    <w:name w:val="header"/>
    <w:basedOn w:val="a"/>
    <w:link w:val="a8"/>
    <w:uiPriority w:val="99"/>
    <w:unhideWhenUsed/>
    <w:rsid w:val="00F97915"/>
    <w:pPr>
      <w:tabs>
        <w:tab w:val="center" w:pos="4153"/>
        <w:tab w:val="right" w:pos="8306"/>
      </w:tabs>
      <w:snapToGrid w:val="0"/>
    </w:pPr>
    <w:rPr>
      <w:sz w:val="20"/>
      <w:szCs w:val="20"/>
    </w:rPr>
  </w:style>
  <w:style w:type="character" w:customStyle="1" w:styleId="a8">
    <w:name w:val="頁首 字元"/>
    <w:basedOn w:val="a0"/>
    <w:link w:val="a7"/>
    <w:uiPriority w:val="99"/>
    <w:rsid w:val="00F97915"/>
    <w:rPr>
      <w:sz w:val="20"/>
      <w:szCs w:val="20"/>
    </w:rPr>
  </w:style>
  <w:style w:type="paragraph" w:styleId="a9">
    <w:name w:val="footer"/>
    <w:basedOn w:val="a"/>
    <w:link w:val="aa"/>
    <w:uiPriority w:val="99"/>
    <w:unhideWhenUsed/>
    <w:rsid w:val="00F97915"/>
    <w:pPr>
      <w:tabs>
        <w:tab w:val="center" w:pos="4153"/>
        <w:tab w:val="right" w:pos="8306"/>
      </w:tabs>
      <w:snapToGrid w:val="0"/>
    </w:pPr>
    <w:rPr>
      <w:sz w:val="20"/>
      <w:szCs w:val="20"/>
    </w:rPr>
  </w:style>
  <w:style w:type="character" w:customStyle="1" w:styleId="aa">
    <w:name w:val="頁尾 字元"/>
    <w:basedOn w:val="a0"/>
    <w:link w:val="a9"/>
    <w:uiPriority w:val="99"/>
    <w:rsid w:val="00F97915"/>
    <w:rPr>
      <w:sz w:val="20"/>
      <w:szCs w:val="20"/>
    </w:rPr>
  </w:style>
  <w:style w:type="paragraph" w:styleId="ab">
    <w:name w:val="Balloon Text"/>
    <w:basedOn w:val="a"/>
    <w:link w:val="ac"/>
    <w:uiPriority w:val="99"/>
    <w:semiHidden/>
    <w:unhideWhenUsed/>
    <w:rsid w:val="00F9791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97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FAC5-7E8B-45A5-A311-EBA2B327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276</Words>
  <Characters>1576</Characters>
  <Application>Microsoft Office Word</Application>
  <DocSecurity>0</DocSecurity>
  <Lines>13</Lines>
  <Paragraphs>3</Paragraphs>
  <ScaleCrop>false</ScaleCrop>
  <Company>MOJ</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3</cp:revision>
  <cp:lastPrinted>2018-02-02T07:05:00Z</cp:lastPrinted>
  <dcterms:created xsi:type="dcterms:W3CDTF">2018-01-30T08:43:00Z</dcterms:created>
  <dcterms:modified xsi:type="dcterms:W3CDTF">2018-02-02T07:08:00Z</dcterms:modified>
</cp:coreProperties>
</file>