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0" w:rsidRDefault="00826E6B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行政院人事行政總處公務人力發展學院</w:t>
      </w:r>
    </w:p>
    <w:p w:rsidR="00FF2B60" w:rsidRDefault="00826E6B">
      <w:pPr>
        <w:pStyle w:val="Standard"/>
        <w:spacing w:line="560" w:lineRule="exact"/>
        <w:jc w:val="center"/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110</w:t>
      </w:r>
      <w:r>
        <w:rPr>
          <w:rFonts w:ascii="標楷體" w:eastAsia="標楷體" w:hAnsi="標楷體"/>
          <w:b/>
          <w:color w:val="000000"/>
          <w:sz w:val="36"/>
          <w:szCs w:val="36"/>
        </w:rPr>
        <w:t>年度標竿學習案例甄選暨推廣實施計畫</w:t>
      </w:r>
    </w:p>
    <w:p w:rsidR="00FF2B60" w:rsidRDefault="00826E6B">
      <w:pPr>
        <w:pStyle w:val="Standard"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壹、依據</w:t>
      </w:r>
    </w:p>
    <w:p w:rsidR="00FF2B60" w:rsidRDefault="00826E6B">
      <w:pPr>
        <w:pStyle w:val="a7"/>
        <w:numPr>
          <w:ilvl w:val="0"/>
          <w:numId w:val="22"/>
        </w:numPr>
        <w:spacing w:line="540" w:lineRule="exact"/>
        <w:ind w:left="993" w:hanging="709"/>
      </w:pPr>
      <w:r>
        <w:rPr>
          <w:rFonts w:ascii="Times New Roman" w:hAnsi="Times New Roman" w:cs="Times New Roman"/>
          <w:color w:val="000000"/>
          <w:szCs w:val="32"/>
        </w:rPr>
        <w:t>行政院人事行政總處公務人力發展學院</w:t>
      </w:r>
      <w:r>
        <w:rPr>
          <w:rFonts w:ascii="標楷體" w:hAnsi="標楷體"/>
          <w:color w:val="000000"/>
          <w:szCs w:val="32"/>
        </w:rPr>
        <w:t>(</w:t>
      </w:r>
      <w:r>
        <w:rPr>
          <w:rFonts w:ascii="Times New Roman" w:hAnsi="Times New Roman" w:cs="Times New Roman"/>
          <w:color w:val="000000"/>
          <w:szCs w:val="32"/>
        </w:rPr>
        <w:t>以下簡稱本學院</w:t>
      </w:r>
      <w:r>
        <w:rPr>
          <w:rFonts w:ascii="標楷體" w:hAnsi="標楷體"/>
          <w:color w:val="000000"/>
          <w:szCs w:val="32"/>
        </w:rPr>
        <w:t>)</w:t>
      </w:r>
      <w:r>
        <w:rPr>
          <w:rFonts w:ascii="Times New Roman" w:hAnsi="Times New Roman" w:cs="Times New Roman"/>
          <w:color w:val="000000"/>
          <w:szCs w:val="32"/>
        </w:rPr>
        <w:t>組織法第</w:t>
      </w:r>
      <w:r>
        <w:rPr>
          <w:rFonts w:ascii="Times New Roman" w:hAnsi="Times New Roman" w:cs="Times New Roman"/>
          <w:color w:val="000000"/>
          <w:szCs w:val="32"/>
        </w:rPr>
        <w:t>2</w:t>
      </w:r>
      <w:r>
        <w:rPr>
          <w:rFonts w:ascii="Times New Roman" w:hAnsi="Times New Roman" w:cs="Times New Roman"/>
          <w:color w:val="000000"/>
          <w:szCs w:val="32"/>
        </w:rPr>
        <w:t>條第</w:t>
      </w:r>
      <w:r>
        <w:rPr>
          <w:rFonts w:ascii="Times New Roman" w:hAnsi="Times New Roman" w:cs="Times New Roman"/>
          <w:color w:val="000000"/>
          <w:szCs w:val="32"/>
        </w:rPr>
        <w:t>8</w:t>
      </w:r>
      <w:r>
        <w:rPr>
          <w:rFonts w:ascii="Times New Roman" w:hAnsi="Times New Roman" w:cs="Times New Roman"/>
          <w:color w:val="000000"/>
          <w:szCs w:val="32"/>
        </w:rPr>
        <w:t>款：「其他有關行政院所屬機關與地方機關公務人員之訓練及發展事項」。</w:t>
      </w:r>
    </w:p>
    <w:p w:rsidR="00FF2B60" w:rsidRDefault="00826E6B">
      <w:pPr>
        <w:pStyle w:val="a7"/>
        <w:numPr>
          <w:ilvl w:val="0"/>
          <w:numId w:val="7"/>
        </w:numPr>
        <w:spacing w:line="540" w:lineRule="exact"/>
        <w:ind w:left="993" w:hanging="709"/>
      </w:pPr>
      <w:r>
        <w:rPr>
          <w:rFonts w:ascii="Times New Roman" w:hAnsi="Times New Roman" w:cs="Times New Roman"/>
          <w:color w:val="000000"/>
          <w:szCs w:val="32"/>
        </w:rPr>
        <w:t>本學院</w:t>
      </w:r>
      <w:r>
        <w:rPr>
          <w:rFonts w:ascii="Times New Roman" w:hAnsi="Times New Roman" w:cs="Times New Roman"/>
          <w:color w:val="000000"/>
          <w:szCs w:val="32"/>
        </w:rPr>
        <w:t>110</w:t>
      </w:r>
      <w:r>
        <w:rPr>
          <w:rFonts w:ascii="Times New Roman" w:hAnsi="Times New Roman" w:cs="Times New Roman"/>
          <w:color w:val="000000"/>
          <w:szCs w:val="32"/>
        </w:rPr>
        <w:t>年度訓練計畫。</w:t>
      </w:r>
    </w:p>
    <w:p w:rsidR="00FF2B60" w:rsidRDefault="00826E6B">
      <w:pPr>
        <w:pStyle w:val="Standard"/>
        <w:spacing w:line="5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貳、目的</w:t>
      </w:r>
    </w:p>
    <w:p w:rsidR="00FF2B60" w:rsidRDefault="00826E6B">
      <w:pPr>
        <w:pStyle w:val="Standard"/>
        <w:spacing w:line="540" w:lineRule="exact"/>
        <w:ind w:left="708"/>
      </w:pPr>
      <w:r>
        <w:rPr>
          <w:rFonts w:ascii="標楷體" w:eastAsia="標楷體" w:hAnsi="標楷體"/>
          <w:color w:val="000000"/>
          <w:sz w:val="32"/>
          <w:szCs w:val="32"/>
        </w:rPr>
        <w:t>發掘政府施政</w:t>
      </w:r>
      <w:r>
        <w:rPr>
          <w:rFonts w:ascii="標楷體" w:eastAsia="標楷體" w:hAnsi="標楷體"/>
          <w:color w:val="000000"/>
          <w:sz w:val="32"/>
        </w:rPr>
        <w:t>適合公務人員學習與分享之關鍵議題或創新作法</w:t>
      </w:r>
      <w:r>
        <w:rPr>
          <w:rFonts w:ascii="標楷體" w:eastAsia="標楷體" w:hAnsi="標楷體"/>
          <w:color w:val="000000"/>
          <w:sz w:val="32"/>
          <w:szCs w:val="32"/>
        </w:rPr>
        <w:t>，藉由標竿學習模式</w:t>
      </w:r>
      <w:r>
        <w:rPr>
          <w:rFonts w:ascii="標楷體" w:eastAsia="標楷體" w:hAnsi="標楷體"/>
          <w:bCs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</w:rPr>
        <w:t>收集並選拔各主管機關績效卓著之行政個案，據以發展標竿學習教案，及辦理觀摩與教學活動，發揮知識分享及擴散效應，精進行政效能。</w:t>
      </w:r>
    </w:p>
    <w:p w:rsidR="00FF2B60" w:rsidRDefault="00826E6B">
      <w:pPr>
        <w:pStyle w:val="Standard"/>
        <w:spacing w:line="5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參、辦理機關</w:t>
      </w:r>
    </w:p>
    <w:p w:rsidR="00FF2B60" w:rsidRDefault="00826E6B">
      <w:pPr>
        <w:pStyle w:val="a7"/>
        <w:numPr>
          <w:ilvl w:val="0"/>
          <w:numId w:val="23"/>
        </w:numPr>
        <w:snapToGrid w:val="0"/>
        <w:spacing w:line="540" w:lineRule="exact"/>
        <w:ind w:left="993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指導機關：行政院人事行政總處。</w:t>
      </w:r>
    </w:p>
    <w:p w:rsidR="00FF2B60" w:rsidRDefault="00826E6B">
      <w:pPr>
        <w:pStyle w:val="a7"/>
        <w:numPr>
          <w:ilvl w:val="0"/>
          <w:numId w:val="8"/>
        </w:numPr>
        <w:snapToGrid w:val="0"/>
        <w:spacing w:line="540" w:lineRule="exact"/>
        <w:ind w:left="993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參加機關：行政院所屬中央及地方機關</w:t>
      </w:r>
      <w:r>
        <w:rPr>
          <w:rFonts w:ascii="標楷體" w:hAnsi="標楷體"/>
          <w:color w:val="000000"/>
          <w:szCs w:val="32"/>
        </w:rPr>
        <w:t>(</w:t>
      </w:r>
      <w:r>
        <w:rPr>
          <w:rFonts w:ascii="標楷體" w:hAnsi="標楷體"/>
          <w:color w:val="000000"/>
          <w:szCs w:val="32"/>
        </w:rPr>
        <w:t>以下稱各主管機關</w:t>
      </w:r>
      <w:r>
        <w:rPr>
          <w:rFonts w:ascii="標楷體" w:hAnsi="標楷體"/>
          <w:color w:val="000000"/>
          <w:szCs w:val="32"/>
        </w:rPr>
        <w:t>)</w:t>
      </w:r>
      <w:r>
        <w:rPr>
          <w:rFonts w:ascii="標楷體" w:hAnsi="標楷體"/>
          <w:color w:val="000000"/>
          <w:szCs w:val="32"/>
        </w:rPr>
        <w:t>。</w:t>
      </w:r>
    </w:p>
    <w:p w:rsidR="00FF2B60" w:rsidRDefault="00826E6B">
      <w:pPr>
        <w:pStyle w:val="a7"/>
        <w:numPr>
          <w:ilvl w:val="0"/>
          <w:numId w:val="8"/>
        </w:numPr>
        <w:snapToGrid w:val="0"/>
        <w:spacing w:line="540" w:lineRule="exact"/>
        <w:ind w:left="993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承辦機關：本學院。</w:t>
      </w:r>
    </w:p>
    <w:p w:rsidR="00FF2B60" w:rsidRDefault="00826E6B">
      <w:pPr>
        <w:pStyle w:val="Standard"/>
        <w:spacing w:line="540" w:lineRule="exact"/>
      </w:pPr>
      <w:r>
        <w:rPr>
          <w:rFonts w:ascii="標楷體" w:eastAsia="標楷體" w:hAnsi="標楷體"/>
          <w:b/>
          <w:color w:val="000000"/>
          <w:sz w:val="32"/>
          <w:szCs w:val="32"/>
        </w:rPr>
        <w:t>肆、</w:t>
      </w:r>
      <w:r>
        <w:rPr>
          <w:rFonts w:ascii="標楷體" w:eastAsia="標楷體" w:hAnsi="標楷體"/>
          <w:b/>
          <w:color w:val="000000"/>
          <w:sz w:val="32"/>
        </w:rPr>
        <w:t>薦送及甄選方式</w:t>
      </w:r>
    </w:p>
    <w:p w:rsidR="00FF2B60" w:rsidRDefault="00826E6B">
      <w:pPr>
        <w:pStyle w:val="a7"/>
        <w:numPr>
          <w:ilvl w:val="0"/>
          <w:numId w:val="24"/>
        </w:numPr>
        <w:spacing w:line="540" w:lineRule="exact"/>
        <w:ind w:left="993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案例薦送</w:t>
      </w:r>
    </w:p>
    <w:p w:rsidR="00FF2B60" w:rsidRDefault="00826E6B">
      <w:pPr>
        <w:pStyle w:val="a7"/>
        <w:numPr>
          <w:ilvl w:val="0"/>
          <w:numId w:val="25"/>
        </w:numPr>
        <w:spacing w:line="540" w:lineRule="exact"/>
        <w:ind w:left="1418" w:hanging="709"/>
      </w:pPr>
      <w:r>
        <w:rPr>
          <w:rFonts w:ascii="標楷體" w:hAnsi="標楷體"/>
          <w:color w:val="000000"/>
          <w:szCs w:val="32"/>
        </w:rPr>
        <w:t>由各主管機關擇優薦送具標竿學習價值之施政案例，並以薦送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案為限。</w:t>
      </w:r>
    </w:p>
    <w:p w:rsidR="00FF2B60" w:rsidRDefault="00826E6B">
      <w:pPr>
        <w:pStyle w:val="a7"/>
        <w:numPr>
          <w:ilvl w:val="0"/>
          <w:numId w:val="11"/>
        </w:numPr>
        <w:spacing w:line="540" w:lineRule="exact"/>
        <w:ind w:left="1418" w:hanging="709"/>
      </w:pPr>
      <w:r>
        <w:rPr>
          <w:rFonts w:ascii="標楷體" w:hAnsi="標楷體"/>
          <w:color w:val="000000"/>
          <w:szCs w:val="32"/>
        </w:rPr>
        <w:t>各主管機關填具「標竿學習案例薦送表」</w:t>
      </w:r>
      <w:r>
        <w:rPr>
          <w:rFonts w:ascii="標楷體" w:hAnsi="標楷體"/>
          <w:color w:val="000000"/>
          <w:szCs w:val="32"/>
        </w:rPr>
        <w:t>(</w:t>
      </w:r>
      <w:r>
        <w:rPr>
          <w:rFonts w:ascii="標楷體" w:hAnsi="標楷體"/>
          <w:color w:val="000000"/>
          <w:szCs w:val="32"/>
        </w:rPr>
        <w:t>如附件</w:t>
      </w:r>
      <w:r>
        <w:rPr>
          <w:rFonts w:ascii="標楷體" w:hAnsi="標楷體"/>
          <w:color w:val="000000"/>
          <w:szCs w:val="32"/>
        </w:rPr>
        <w:t>)</w:t>
      </w:r>
      <w:r>
        <w:rPr>
          <w:rFonts w:ascii="標楷體" w:hAnsi="標楷體"/>
          <w:color w:val="000000"/>
          <w:szCs w:val="32"/>
        </w:rPr>
        <w:t>，內文應包含案例簡述、創新作為、問題解決、具體效益、</w:t>
      </w:r>
      <w:r>
        <w:rPr>
          <w:rFonts w:ascii="Times New Roman" w:hAnsi="Times New Roman" w:cs="Times New Roman"/>
          <w:color w:val="000000"/>
          <w:szCs w:val="32"/>
        </w:rPr>
        <w:t>標竿價值及未來延展等</w:t>
      </w:r>
      <w:r>
        <w:rPr>
          <w:rFonts w:ascii="Times New Roman" w:hAnsi="Times New Roman" w:cs="Times New Roman"/>
          <w:color w:val="000000"/>
          <w:szCs w:val="32"/>
        </w:rPr>
        <w:t>6</w:t>
      </w:r>
      <w:r>
        <w:rPr>
          <w:rFonts w:ascii="Times New Roman" w:hAnsi="Times New Roman" w:cs="Times New Roman"/>
          <w:color w:val="000000"/>
          <w:szCs w:val="32"/>
        </w:rPr>
        <w:t>項，並符合甄選重點之內容。</w:t>
      </w:r>
    </w:p>
    <w:p w:rsidR="00FF2B60" w:rsidRDefault="00826E6B">
      <w:pPr>
        <w:pStyle w:val="a7"/>
        <w:numPr>
          <w:ilvl w:val="0"/>
          <w:numId w:val="11"/>
        </w:numPr>
        <w:spacing w:line="540" w:lineRule="exact"/>
        <w:ind w:left="1418" w:hanging="709"/>
      </w:pPr>
      <w:r>
        <w:rPr>
          <w:rFonts w:ascii="標楷體" w:hAnsi="標楷體"/>
          <w:color w:val="000000"/>
          <w:szCs w:val="32"/>
        </w:rPr>
        <w:t>須為最近</w:t>
      </w:r>
      <w:r>
        <w:rPr>
          <w:rFonts w:ascii="Times New Roman" w:hAnsi="Times New Roman" w:cs="Times New Roman"/>
          <w:color w:val="000000"/>
          <w:szCs w:val="32"/>
        </w:rPr>
        <w:t>5</w:t>
      </w:r>
      <w:r>
        <w:rPr>
          <w:rFonts w:ascii="標楷體" w:hAnsi="標楷體"/>
          <w:color w:val="000000"/>
          <w:szCs w:val="32"/>
        </w:rPr>
        <w:t>年內自行或與其他機關團體合作辦理者，且不得重複薦送與前年度重覆或相似內容之案例</w:t>
      </w:r>
      <w:r>
        <w:rPr>
          <w:rFonts w:ascii="標楷體" w:hAnsi="標楷體"/>
          <w:color w:val="000000"/>
          <w:szCs w:val="32"/>
        </w:rPr>
        <w:t>(</w:t>
      </w:r>
      <w:r>
        <w:rPr>
          <w:rFonts w:ascii="標楷體" w:hAnsi="標楷體"/>
          <w:color w:val="000000"/>
          <w:szCs w:val="32"/>
        </w:rPr>
        <w:t>例如：分年</w:t>
      </w:r>
      <w:r>
        <w:rPr>
          <w:rFonts w:ascii="標楷體" w:hAnsi="標楷體"/>
          <w:color w:val="000000"/>
          <w:szCs w:val="32"/>
        </w:rPr>
        <w:lastRenderedPageBreak/>
        <w:t>度之階段性計畫、每年度例行計畫等</w:t>
      </w:r>
      <w:r>
        <w:rPr>
          <w:rFonts w:ascii="標楷體" w:hAnsi="標楷體"/>
          <w:color w:val="000000"/>
          <w:szCs w:val="32"/>
        </w:rPr>
        <w:t>)</w:t>
      </w:r>
      <w:r>
        <w:rPr>
          <w:rFonts w:ascii="標楷體" w:hAnsi="標楷體"/>
          <w:color w:val="000000"/>
          <w:szCs w:val="32"/>
        </w:rPr>
        <w:t>；已獲得國內公、私部門其他獎項之案例，不得薦送。</w:t>
      </w:r>
    </w:p>
    <w:p w:rsidR="00FF2B60" w:rsidRDefault="00826E6B">
      <w:pPr>
        <w:pStyle w:val="a7"/>
        <w:numPr>
          <w:ilvl w:val="0"/>
          <w:numId w:val="9"/>
        </w:numPr>
        <w:spacing w:line="560" w:lineRule="exact"/>
        <w:ind w:left="1276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案例甄選</w:t>
      </w:r>
    </w:p>
    <w:p w:rsidR="00FF2B60" w:rsidRDefault="00826E6B">
      <w:pPr>
        <w:pStyle w:val="a7"/>
        <w:spacing w:line="560" w:lineRule="exact"/>
        <w:ind w:left="1276" w:hanging="709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依中央機關案例及地方機關案例分別辦理甄選作業，程序如下：</w:t>
      </w:r>
    </w:p>
    <w:p w:rsidR="00FF2B60" w:rsidRDefault="00826E6B">
      <w:pPr>
        <w:pStyle w:val="a7"/>
        <w:numPr>
          <w:ilvl w:val="0"/>
          <w:numId w:val="26"/>
        </w:numPr>
        <w:spacing w:line="540" w:lineRule="exact"/>
      </w:pPr>
      <w:r>
        <w:rPr>
          <w:rFonts w:ascii="Times New Roman" w:hAnsi="Times New Roman" w:cs="Times New Roman"/>
          <w:color w:val="000000"/>
          <w:szCs w:val="32"/>
        </w:rPr>
        <w:t>初審</w:t>
      </w:r>
      <w:r>
        <w:rPr>
          <w:rFonts w:ascii="標楷體" w:hAnsi="標楷體"/>
          <w:color w:val="000000"/>
          <w:szCs w:val="32"/>
        </w:rPr>
        <w:t>：由本學院</w:t>
      </w:r>
      <w:r>
        <w:rPr>
          <w:rFonts w:ascii="Times New Roman" w:hAnsi="Times New Roman" w:cs="Times New Roman"/>
          <w:color w:val="000000"/>
          <w:szCs w:val="32"/>
        </w:rPr>
        <w:t>依各機關薦送表內容進行審查，擇適合教學延伸之個案進入複審。</w:t>
      </w:r>
    </w:p>
    <w:p w:rsidR="00FF2B60" w:rsidRDefault="00826E6B">
      <w:pPr>
        <w:pStyle w:val="a7"/>
        <w:numPr>
          <w:ilvl w:val="0"/>
          <w:numId w:val="16"/>
        </w:numPr>
        <w:spacing w:line="540" w:lineRule="exact"/>
        <w:ind w:left="1701" w:hanging="850"/>
      </w:pPr>
      <w:r>
        <w:rPr>
          <w:rFonts w:ascii="標楷體" w:hAnsi="標楷體"/>
          <w:color w:val="000000"/>
          <w:szCs w:val="32"/>
        </w:rPr>
        <w:t>複審：由本學院遴聘學者專家進行書面甄選。</w:t>
      </w:r>
    </w:p>
    <w:p w:rsidR="00FF2B60" w:rsidRDefault="00826E6B">
      <w:pPr>
        <w:pStyle w:val="a7"/>
        <w:numPr>
          <w:ilvl w:val="0"/>
          <w:numId w:val="16"/>
        </w:numPr>
        <w:spacing w:line="540" w:lineRule="exact"/>
        <w:ind w:left="1701" w:hanging="850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入選名額：</w:t>
      </w:r>
    </w:p>
    <w:p w:rsidR="00FF2B60" w:rsidRDefault="00826E6B">
      <w:pPr>
        <w:pStyle w:val="a7"/>
        <w:numPr>
          <w:ilvl w:val="1"/>
          <w:numId w:val="16"/>
        </w:numPr>
        <w:spacing w:line="540" w:lineRule="exact"/>
        <w:ind w:left="1417" w:firstLine="0"/>
      </w:pPr>
      <w:r>
        <w:rPr>
          <w:rFonts w:ascii="標楷體" w:hAnsi="標楷體"/>
          <w:color w:val="000000"/>
          <w:szCs w:val="32"/>
        </w:rPr>
        <w:t>中央機關：擇特優獎</w:t>
      </w:r>
      <w:r>
        <w:rPr>
          <w:rFonts w:ascii="標楷體" w:hAnsi="標楷體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名、優良獎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名及佳作獎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名，以上獎項得視甄選結果從缺或增列。</w:t>
      </w:r>
    </w:p>
    <w:p w:rsidR="00FF2B60" w:rsidRDefault="00826E6B">
      <w:pPr>
        <w:pStyle w:val="a7"/>
        <w:numPr>
          <w:ilvl w:val="1"/>
          <w:numId w:val="16"/>
        </w:numPr>
        <w:spacing w:line="540" w:lineRule="exact"/>
        <w:ind w:left="1417" w:firstLine="0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地方機關：擇特優獎</w:t>
      </w:r>
      <w:r>
        <w:rPr>
          <w:rFonts w:ascii="標楷體" w:hAnsi="標楷體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名、優良獎</w:t>
      </w:r>
      <w:r>
        <w:rPr>
          <w:rFonts w:ascii="標楷體" w:hAnsi="標楷體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名及佳作獎</w:t>
      </w:r>
      <w:r>
        <w:rPr>
          <w:rFonts w:ascii="標楷體" w:hAnsi="標楷體"/>
          <w:color w:val="000000"/>
          <w:szCs w:val="32"/>
        </w:rPr>
        <w:t>1</w:t>
      </w:r>
      <w:r>
        <w:rPr>
          <w:rFonts w:ascii="標楷體" w:hAnsi="標楷體"/>
          <w:color w:val="000000"/>
          <w:szCs w:val="32"/>
        </w:rPr>
        <w:t>名，以上獎項得視甄選結果從缺或增列。</w:t>
      </w:r>
    </w:p>
    <w:p w:rsidR="00FF2B60" w:rsidRDefault="00826E6B">
      <w:pPr>
        <w:pStyle w:val="a7"/>
        <w:numPr>
          <w:ilvl w:val="0"/>
          <w:numId w:val="16"/>
        </w:numPr>
        <w:spacing w:after="217" w:line="540" w:lineRule="exact"/>
        <w:ind w:left="1702" w:hanging="851"/>
        <w:rPr>
          <w:rFonts w:ascii="標楷體" w:hAnsi="標楷體"/>
          <w:color w:val="000000"/>
          <w:szCs w:val="32"/>
        </w:rPr>
      </w:pPr>
      <w:r>
        <w:rPr>
          <w:rFonts w:ascii="標楷體" w:hAnsi="標楷體"/>
          <w:color w:val="000000"/>
          <w:szCs w:val="32"/>
        </w:rPr>
        <w:t>甄選指標</w:t>
      </w:r>
    </w:p>
    <w:tbl>
      <w:tblPr>
        <w:tblW w:w="8385" w:type="dxa"/>
        <w:tblInd w:w="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5806"/>
        <w:gridCol w:w="1020"/>
      </w:tblGrid>
      <w:tr w:rsidR="00FF2B60" w:rsidTr="00FF2B6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甄選面向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甄選重點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比重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創新作為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面對或感受外在情勢及民意，所具有之創意或創新程度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20%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問題解決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跨域合作、資源統籌運用等執行過程之難易程度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15%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具體效益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以質、量化分析資料呈現影響機關內部行政作業或外部民眾權益等情形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25%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標竿價值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案例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可增進公務人員知能或工作效益，具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學習、推廣或普及性之應用價值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35%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未來延展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案例分享效益及未來可能遭遇之侷限與因應方式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5%</w:t>
            </w:r>
          </w:p>
        </w:tc>
      </w:tr>
    </w:tbl>
    <w:p w:rsidR="00FF2B60" w:rsidRDefault="00826E6B">
      <w:pPr>
        <w:pStyle w:val="Standard"/>
        <w:widowControl/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伍、獎勵措施</w:t>
      </w:r>
    </w:p>
    <w:p w:rsidR="00FF2B60" w:rsidRDefault="00826E6B">
      <w:pPr>
        <w:pStyle w:val="Standard"/>
        <w:spacing w:line="54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一、特優獎案例：由本學院頒發特優獎座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座及團隊獎金新臺幣壹萬元整。</w:t>
      </w:r>
    </w:p>
    <w:p w:rsidR="00FF2B60" w:rsidRDefault="00826E6B">
      <w:pPr>
        <w:pStyle w:val="Standard"/>
        <w:spacing w:line="54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二、優良獎案例：由本學院頒發優良獎座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座及團隊獎金新臺幣捌仟元整。</w:t>
      </w:r>
    </w:p>
    <w:p w:rsidR="00FF2B60" w:rsidRDefault="00826E6B">
      <w:pPr>
        <w:pStyle w:val="Standard"/>
        <w:spacing w:line="54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　三、佳作獎案例：由本學院頒發佳作獎座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座及團隊獎金新臺幣陸仟元整。</w:t>
      </w:r>
    </w:p>
    <w:p w:rsidR="00FF2B60" w:rsidRDefault="00826E6B">
      <w:pPr>
        <w:pStyle w:val="Standard"/>
        <w:spacing w:line="54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四、行政獎勵：由本學院函請入選案例提報機關就相關人員辦理敘獎鼓勵。</w:t>
      </w:r>
    </w:p>
    <w:p w:rsidR="00FF2B60" w:rsidRDefault="00826E6B">
      <w:pPr>
        <w:pStyle w:val="Standard"/>
        <w:spacing w:line="540" w:lineRule="exact"/>
        <w:ind w:left="170" w:hanging="1077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陸、標竿案例分享推廣</w:t>
      </w:r>
    </w:p>
    <w:p w:rsidR="00FF2B60" w:rsidRDefault="00826E6B">
      <w:pPr>
        <w:pStyle w:val="Standard"/>
        <w:spacing w:line="540" w:lineRule="exact"/>
        <w:ind w:left="1008" w:hanging="100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一、發展標竿教案：由本學院洽請學者專家協助撰寫標竿教案及規劃相關課程，獲獎機關應配合辦理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例如：撰寫教案需求訪談等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。本學院對前開教案，並得作為推廣及教學使用。</w:t>
      </w:r>
    </w:p>
    <w:p w:rsidR="00FF2B60" w:rsidRDefault="00826E6B">
      <w:pPr>
        <w:pStyle w:val="Standard"/>
        <w:spacing w:line="540" w:lineRule="exact"/>
        <w:ind w:left="1008" w:hanging="100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二、標竿案例發表：標竿學習案例獲獎機關，應配合本學院規劃，參與標竿案例發表之分享及協助教學活動等推廣事宜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例如：薦派熟稔案例之人員擔任課程講座分享實務經驗、發表會簡報上傳至本學院全球資訊網分享等，並提供參與或熟稔獲獎案例之機關構人員多筆，做為發表會邀請與談之考量名單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F2B60" w:rsidRDefault="00826E6B">
      <w:pPr>
        <w:pStyle w:val="Standard"/>
        <w:spacing w:line="5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柒、相關作業期程</w:t>
      </w:r>
    </w:p>
    <w:tbl>
      <w:tblPr>
        <w:tblW w:w="8310" w:type="dxa"/>
        <w:tblInd w:w="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  <w:gridCol w:w="3916"/>
      </w:tblGrid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辦理期程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各主管機關薦送標竿學習案例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月至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標竿學習案例甄選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月至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標竿教案產出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7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月至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頒獎及標竿案例發表會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B60" w:rsidRDefault="00826E6B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</w:t>
            </w:r>
          </w:p>
        </w:tc>
      </w:tr>
    </w:tbl>
    <w:p w:rsidR="00FF2B60" w:rsidRDefault="00826E6B">
      <w:pPr>
        <w:pStyle w:val="Standard"/>
        <w:spacing w:line="540" w:lineRule="exact"/>
        <w:ind w:firstLine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本學院得視業務實際需要調整辦理期程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FF2B60" w:rsidRDefault="00826E6B">
      <w:pPr>
        <w:pStyle w:val="Standard"/>
        <w:spacing w:line="540" w:lineRule="exact"/>
        <w:sectPr w:rsidR="00FF2B60">
          <w:footerReference w:type="default" r:id="rId7"/>
          <w:pgSz w:w="11906" w:h="16838"/>
          <w:pgMar w:top="1134" w:right="1304" w:bottom="1134" w:left="1304" w:header="720" w:footer="992" w:gutter="0"/>
          <w:cols w:space="720"/>
        </w:sectPr>
      </w:pPr>
      <w:r>
        <w:rPr>
          <w:rFonts w:ascii="標楷體" w:eastAsia="標楷體" w:hAnsi="標楷體"/>
          <w:b/>
          <w:color w:val="000000"/>
          <w:sz w:val="32"/>
          <w:szCs w:val="32"/>
        </w:rPr>
        <w:t>捌</w:t>
      </w:r>
      <w:r>
        <w:rPr>
          <w:rFonts w:ascii="標楷體" w:eastAsia="標楷體" w:hAnsi="標楷體"/>
          <w:color w:val="000000"/>
          <w:sz w:val="32"/>
          <w:szCs w:val="32"/>
        </w:rPr>
        <w:t>、本實施計畫未盡事宜得視實際需要補充修正之。</w:t>
      </w:r>
    </w:p>
    <w:p w:rsidR="00FF2B60" w:rsidRDefault="00826E6B">
      <w:pPr>
        <w:pStyle w:val="Standard"/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標竿學習案例薦送表</w:t>
      </w:r>
    </w:p>
    <w:p w:rsidR="00FF2B60" w:rsidRDefault="00826E6B">
      <w:pPr>
        <w:pStyle w:val="a7"/>
        <w:numPr>
          <w:ilvl w:val="0"/>
          <w:numId w:val="27"/>
        </w:numPr>
        <w:spacing w:before="217" w:after="217" w:line="540" w:lineRule="exact"/>
        <w:ind w:left="709" w:hanging="567"/>
        <w:rPr>
          <w:rFonts w:ascii="Times New Roman" w:hAnsi="Times New Roman" w:cs="Times New Roman"/>
          <w:b/>
          <w:color w:val="000000"/>
          <w:szCs w:val="32"/>
        </w:rPr>
      </w:pPr>
      <w:r>
        <w:rPr>
          <w:rFonts w:ascii="Times New Roman" w:hAnsi="Times New Roman" w:cs="Times New Roman"/>
          <w:b/>
          <w:color w:val="000000"/>
          <w:szCs w:val="32"/>
        </w:rPr>
        <w:t>撰寫指引</w:t>
      </w:r>
    </w:p>
    <w:p w:rsidR="00FF2B60" w:rsidRDefault="00826E6B">
      <w:pPr>
        <w:pStyle w:val="a7"/>
        <w:numPr>
          <w:ilvl w:val="0"/>
          <w:numId w:val="28"/>
        </w:numPr>
        <w:spacing w:line="540" w:lineRule="exact"/>
        <w:ind w:left="993" w:hanging="709"/>
      </w:pPr>
      <w:r>
        <w:rPr>
          <w:rFonts w:ascii="標楷體" w:hAnsi="標楷體" w:cs="Times New Roman"/>
          <w:color w:val="000000"/>
          <w:szCs w:val="32"/>
        </w:rPr>
        <w:t>建議主題：有助於提升公務人員知能或工作效能之特定問題導向型</w:t>
      </w:r>
      <w:r>
        <w:rPr>
          <w:rFonts w:ascii="標楷體" w:hAnsi="標楷體" w:cs="Times New Roman"/>
          <w:color w:val="000000"/>
          <w:szCs w:val="32"/>
        </w:rPr>
        <w:t>(</w:t>
      </w:r>
      <w:r>
        <w:rPr>
          <w:rFonts w:ascii="標楷體" w:hAnsi="標楷體" w:cs="Times New Roman"/>
          <w:color w:val="000000"/>
          <w:szCs w:val="32"/>
        </w:rPr>
        <w:t>涉及</w:t>
      </w:r>
      <w:r>
        <w:rPr>
          <w:rFonts w:ascii="標楷體" w:hAnsi="標楷體"/>
          <w:color w:val="000000"/>
        </w:rPr>
        <w:t>問題解決之方式、創新或突破之作法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/>
          <w:color w:val="000000"/>
        </w:rPr>
        <w:t>或綜觀型</w:t>
      </w:r>
      <w:r>
        <w:rPr>
          <w:rFonts w:ascii="標楷體" w:hAnsi="標楷體"/>
          <w:color w:val="000000"/>
        </w:rPr>
        <w:t>(</w:t>
      </w:r>
      <w:r>
        <w:rPr>
          <w:rFonts w:ascii="標楷體" w:hAnsi="標楷體"/>
          <w:color w:val="000000"/>
        </w:rPr>
        <w:t>機關整體作法、流程改造或公私協力等較整體性之作法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/>
          <w:color w:val="000000"/>
        </w:rPr>
        <w:t>案例，具普及性、未來性及效益性尤佳。</w:t>
      </w:r>
    </w:p>
    <w:p w:rsidR="00FF2B60" w:rsidRDefault="00826E6B">
      <w:pPr>
        <w:pStyle w:val="a7"/>
        <w:numPr>
          <w:ilvl w:val="0"/>
          <w:numId w:val="19"/>
        </w:numPr>
        <w:spacing w:line="540" w:lineRule="exact"/>
        <w:ind w:left="993" w:hanging="709"/>
      </w:pPr>
      <w:r>
        <w:rPr>
          <w:rFonts w:ascii="標楷體" w:hAnsi="標楷體" w:cs="Times New Roman"/>
          <w:color w:val="000000"/>
          <w:szCs w:val="32"/>
        </w:rPr>
        <w:t>避免</w:t>
      </w:r>
      <w:r>
        <w:rPr>
          <w:rFonts w:ascii="標楷體" w:hAnsi="標楷體"/>
          <w:color w:val="000000"/>
          <w:kern w:val="0"/>
          <w:lang w:eastAsia="zh-HK"/>
        </w:rPr>
        <w:t>只適用</w:t>
      </w:r>
      <w:r>
        <w:rPr>
          <w:rFonts w:ascii="標楷體" w:hAnsi="標楷體"/>
          <w:color w:val="000000"/>
        </w:rPr>
        <w:t>特殊時空背景，或涉及隱私、個人資料、性別平等、族群議題等案例</w:t>
      </w:r>
      <w:r>
        <w:rPr>
          <w:rFonts w:ascii="標楷體" w:hAnsi="標楷體" w:cs="Times New Roman"/>
          <w:color w:val="000000"/>
          <w:szCs w:val="32"/>
        </w:rPr>
        <w:t>，並保持行政中立。</w:t>
      </w:r>
    </w:p>
    <w:p w:rsidR="00FF2B60" w:rsidRDefault="00826E6B">
      <w:pPr>
        <w:pStyle w:val="a7"/>
        <w:numPr>
          <w:ilvl w:val="0"/>
          <w:numId w:val="19"/>
        </w:numPr>
        <w:spacing w:line="540" w:lineRule="exact"/>
        <w:ind w:left="993" w:hanging="709"/>
      </w:pPr>
      <w:r>
        <w:rPr>
          <w:rFonts w:ascii="標楷體" w:hAnsi="標楷體" w:cs="Times New Roman"/>
          <w:color w:val="000000"/>
          <w:szCs w:val="32"/>
        </w:rPr>
        <w:t>為強化標竿教案之知識萃取與移轉效果，案例內容除描述相關作法、效益及問題解決過程外，建議著重於案例所產生之標竿價值，有助於公務人員訓練、學習，增進知能或提升工作效益之面向。</w:t>
      </w:r>
    </w:p>
    <w:p w:rsidR="00FF2B60" w:rsidRDefault="00826E6B">
      <w:pPr>
        <w:pStyle w:val="a7"/>
        <w:numPr>
          <w:ilvl w:val="0"/>
          <w:numId w:val="17"/>
        </w:numPr>
        <w:spacing w:before="217" w:after="217" w:line="540" w:lineRule="exact"/>
        <w:ind w:left="709" w:hanging="567"/>
        <w:rPr>
          <w:rFonts w:ascii="Times New Roman" w:hAnsi="Times New Roman" w:cs="Times New Roman"/>
          <w:b/>
          <w:color w:val="000000"/>
          <w:szCs w:val="32"/>
        </w:rPr>
      </w:pPr>
      <w:r>
        <w:rPr>
          <w:rFonts w:ascii="Times New Roman" w:hAnsi="Times New Roman" w:cs="Times New Roman"/>
          <w:b/>
          <w:color w:val="000000"/>
          <w:szCs w:val="32"/>
        </w:rPr>
        <w:t>書寫體例</w:t>
      </w:r>
    </w:p>
    <w:p w:rsidR="00FF2B60" w:rsidRDefault="00826E6B">
      <w:pPr>
        <w:pStyle w:val="a7"/>
        <w:numPr>
          <w:ilvl w:val="0"/>
          <w:numId w:val="29"/>
        </w:numPr>
        <w:spacing w:line="540" w:lineRule="exact"/>
        <w:ind w:left="993" w:hanging="709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本表請以</w:t>
      </w:r>
      <w:r>
        <w:rPr>
          <w:rFonts w:ascii="Times New Roman" w:hAnsi="Times New Roman" w:cs="Times New Roman"/>
          <w:color w:val="000000"/>
          <w:szCs w:val="32"/>
        </w:rPr>
        <w:t>A4</w:t>
      </w:r>
      <w:r>
        <w:rPr>
          <w:rFonts w:ascii="Times New Roman" w:hAnsi="Times New Roman" w:cs="Times New Roman"/>
          <w:color w:val="000000"/>
          <w:szCs w:val="32"/>
        </w:rPr>
        <w:t>規格、標題為標楷體</w:t>
      </w:r>
      <w:r>
        <w:rPr>
          <w:rFonts w:ascii="Times New Roman" w:hAnsi="Times New Roman" w:cs="Times New Roman"/>
          <w:color w:val="000000"/>
          <w:szCs w:val="32"/>
        </w:rPr>
        <w:t>16</w:t>
      </w:r>
      <w:r>
        <w:rPr>
          <w:rFonts w:ascii="Times New Roman" w:hAnsi="Times New Roman" w:cs="Times New Roman"/>
          <w:color w:val="000000"/>
          <w:szCs w:val="32"/>
        </w:rPr>
        <w:t>號字、內文為標楷體</w:t>
      </w:r>
      <w:r>
        <w:rPr>
          <w:rFonts w:ascii="Times New Roman" w:hAnsi="Times New Roman" w:cs="Times New Roman"/>
          <w:color w:val="000000"/>
          <w:szCs w:val="32"/>
        </w:rPr>
        <w:t>14</w:t>
      </w:r>
      <w:r>
        <w:rPr>
          <w:rFonts w:ascii="Times New Roman" w:hAnsi="Times New Roman" w:cs="Times New Roman"/>
          <w:color w:val="000000"/>
          <w:szCs w:val="32"/>
        </w:rPr>
        <w:t>號字，段落為固定行高</w:t>
      </w:r>
      <w:r>
        <w:rPr>
          <w:rFonts w:ascii="Times New Roman" w:hAnsi="Times New Roman" w:cs="Times New Roman"/>
          <w:color w:val="000000"/>
          <w:szCs w:val="32"/>
        </w:rPr>
        <w:t>24</w:t>
      </w:r>
      <w:r>
        <w:rPr>
          <w:rFonts w:ascii="Times New Roman" w:hAnsi="Times New Roman" w:cs="Times New Roman"/>
          <w:color w:val="000000"/>
          <w:szCs w:val="32"/>
        </w:rPr>
        <w:t>點繕打。</w:t>
      </w:r>
    </w:p>
    <w:p w:rsidR="00FF2B60" w:rsidRDefault="00826E6B">
      <w:pPr>
        <w:pStyle w:val="a7"/>
        <w:numPr>
          <w:ilvl w:val="0"/>
          <w:numId w:val="18"/>
        </w:numPr>
        <w:spacing w:line="540" w:lineRule="exact"/>
        <w:ind w:left="993" w:hanging="709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案例內容字數以</w:t>
      </w:r>
      <w:r>
        <w:rPr>
          <w:rFonts w:ascii="Times New Roman" w:hAnsi="Times New Roman" w:cs="Times New Roman"/>
          <w:color w:val="000000"/>
          <w:szCs w:val="32"/>
        </w:rPr>
        <w:t>2,000</w:t>
      </w:r>
      <w:r>
        <w:rPr>
          <w:rFonts w:ascii="Times New Roman" w:hAnsi="Times New Roman" w:cs="Times New Roman"/>
          <w:color w:val="000000"/>
          <w:szCs w:val="32"/>
        </w:rPr>
        <w:t>～</w:t>
      </w:r>
      <w:r>
        <w:rPr>
          <w:rFonts w:ascii="Times New Roman" w:hAnsi="Times New Roman" w:cs="Times New Roman"/>
          <w:color w:val="000000"/>
          <w:szCs w:val="32"/>
        </w:rPr>
        <w:t>3,000</w:t>
      </w:r>
      <w:r>
        <w:rPr>
          <w:rFonts w:ascii="Times New Roman" w:hAnsi="Times New Roman" w:cs="Times New Roman"/>
          <w:color w:val="000000"/>
          <w:szCs w:val="32"/>
        </w:rPr>
        <w:t>字為原則，如有相關照片及佐證資料等，請置於附件。</w:t>
      </w:r>
    </w:p>
    <w:p w:rsidR="00FF2B60" w:rsidRDefault="00FF2B60">
      <w:pPr>
        <w:pStyle w:val="Standard"/>
        <w:widowControl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F2B60" w:rsidRDefault="00826E6B">
      <w:pPr>
        <w:pStyle w:val="Standard"/>
        <w:pageBreakBefore/>
        <w:spacing w:before="435" w:line="560" w:lineRule="exac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>
        <w:rPr>
          <w:rFonts w:ascii="標楷體" w:eastAsia="標楷體" w:hAnsi="標楷體"/>
          <w:b/>
          <w:color w:val="000000"/>
          <w:sz w:val="52"/>
          <w:szCs w:val="52"/>
        </w:rPr>
        <w:t>行政院人事行政總處公務人力發展學院</w:t>
      </w: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826E6B">
      <w:pPr>
        <w:pStyle w:val="Standard"/>
        <w:spacing w:line="560" w:lineRule="exact"/>
        <w:jc w:val="center"/>
      </w:pPr>
      <w:r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110</w:t>
      </w:r>
      <w:r>
        <w:rPr>
          <w:rFonts w:ascii="標楷體" w:eastAsia="標楷體" w:hAnsi="標楷體"/>
          <w:b/>
          <w:color w:val="000000"/>
          <w:sz w:val="52"/>
          <w:szCs w:val="52"/>
        </w:rPr>
        <w:t>年度標竿學習案例</w:t>
      </w: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</w:p>
    <w:p w:rsidR="00FF2B60" w:rsidRDefault="00826E6B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>
        <w:rPr>
          <w:rFonts w:ascii="標楷體" w:eastAsia="標楷體" w:hAnsi="標楷體"/>
          <w:b/>
          <w:color w:val="000000"/>
          <w:sz w:val="52"/>
          <w:szCs w:val="52"/>
        </w:rPr>
        <w:t>薦送表</w:t>
      </w: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826E6B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案例名稱：</w:t>
      </w: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826E6B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薦送機關全銜：</w:t>
      </w:r>
      <w:r>
        <w:rPr>
          <w:rFonts w:ascii="標楷體" w:eastAsia="標楷體" w:hAnsi="標楷體"/>
          <w:b/>
          <w:color w:val="000000"/>
          <w:sz w:val="40"/>
          <w:szCs w:val="40"/>
        </w:rPr>
        <w:t>(</w:t>
      </w:r>
      <w:r>
        <w:rPr>
          <w:rFonts w:ascii="標楷體" w:eastAsia="標楷體" w:hAnsi="標楷體"/>
          <w:b/>
          <w:color w:val="000000"/>
          <w:sz w:val="40"/>
          <w:szCs w:val="40"/>
        </w:rPr>
        <w:t>辦理機關之主管機關</w:t>
      </w:r>
      <w:r>
        <w:rPr>
          <w:rFonts w:ascii="標楷體" w:eastAsia="標楷體" w:hAnsi="標楷體"/>
          <w:b/>
          <w:color w:val="000000"/>
          <w:sz w:val="40"/>
          <w:szCs w:val="40"/>
        </w:rPr>
        <w:t>)</w:t>
      </w:r>
    </w:p>
    <w:p w:rsidR="00FF2B60" w:rsidRDefault="00826E6B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辦理機關全銜：</w:t>
      </w:r>
      <w:r>
        <w:rPr>
          <w:rFonts w:ascii="標楷體" w:eastAsia="標楷體" w:hAnsi="標楷體"/>
          <w:b/>
          <w:color w:val="000000"/>
          <w:sz w:val="40"/>
          <w:szCs w:val="40"/>
        </w:rPr>
        <w:t>(</w:t>
      </w:r>
      <w:r>
        <w:rPr>
          <w:rFonts w:ascii="標楷體" w:eastAsia="標楷體" w:hAnsi="標楷體"/>
          <w:b/>
          <w:color w:val="000000"/>
          <w:sz w:val="40"/>
          <w:szCs w:val="40"/>
        </w:rPr>
        <w:t>實際規劃執行之機關</w:t>
      </w:r>
      <w:r>
        <w:rPr>
          <w:rFonts w:ascii="標楷體" w:eastAsia="標楷體" w:hAnsi="標楷體"/>
          <w:b/>
          <w:color w:val="000000"/>
          <w:sz w:val="40"/>
          <w:szCs w:val="40"/>
        </w:rPr>
        <w:t>)</w:t>
      </w: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F2B60" w:rsidRDefault="00FF2B60">
      <w:pPr>
        <w:pStyle w:val="Standard"/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F2B60" w:rsidRDefault="00FF2B60">
      <w:pPr>
        <w:pStyle w:val="Standard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60" w:rsidRDefault="00826E6B">
      <w:pPr>
        <w:pStyle w:val="Standard"/>
        <w:spacing w:line="560" w:lineRule="exact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中華民國　　年　　月</w:t>
      </w:r>
    </w:p>
    <w:p w:rsidR="00FF2B60" w:rsidRDefault="00826E6B">
      <w:pPr>
        <w:pStyle w:val="a7"/>
        <w:numPr>
          <w:ilvl w:val="0"/>
          <w:numId w:val="2"/>
        </w:numPr>
        <w:spacing w:after="217" w:line="560" w:lineRule="exact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/>
          <w:b/>
          <w:color w:val="000000"/>
          <w:szCs w:val="32"/>
        </w:rPr>
        <w:t>案例辦理機關基本資料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2552"/>
        <w:gridCol w:w="992"/>
        <w:gridCol w:w="2836"/>
      </w:tblGrid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案例辦理機關全銜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案例辦理預算規模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lef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新臺幣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元整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案例辦理人力規模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案例辦理機關簡介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聯絡人姓名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聯絡人電子郵件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FF2B60">
            <w:pPr>
              <w:pStyle w:val="Standard"/>
              <w:spacing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FF2B60" w:rsidRDefault="00FF2B60">
      <w:pPr>
        <w:pStyle w:val="Standard"/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F2B60" w:rsidRDefault="00826E6B">
      <w:pPr>
        <w:pStyle w:val="a7"/>
        <w:pageBreakBefore/>
        <w:numPr>
          <w:ilvl w:val="0"/>
          <w:numId w:val="2"/>
        </w:numPr>
        <w:spacing w:after="217" w:line="560" w:lineRule="exact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/>
          <w:b/>
          <w:color w:val="000000"/>
          <w:szCs w:val="32"/>
        </w:rPr>
        <w:t>案例內容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7"/>
        <w:gridCol w:w="7655"/>
      </w:tblGrid>
      <w:tr w:rsidR="00FF2B60" w:rsidTr="00FF2B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內容面向</w:t>
            </w:r>
            <w:r w:rsidRPr="00FF2B60">
              <w:rPr>
                <w:rStyle w:val="af"/>
                <w:rFonts w:ascii="標楷體" w:eastAsia="標楷體" w:hAnsi="標楷體"/>
                <w:b/>
                <w:color w:val="000000"/>
                <w:sz w:val="32"/>
                <w:szCs w:val="32"/>
              </w:rPr>
              <w:footnoteReference w:id="1"/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重點摘述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案例簡述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請簡述本案例之背景、現況分析、問題意識、政策形成過程等。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創新作為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面對或感受外在情勢及民意，機關所採取之創新作為，例如：流程改善、政策工具的選擇、資通訊科技的導入等，或可列舉與其他機關、本機關過往做法相較之創新或改良程度。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問題解決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執行上述創新作為所遭遇之困難，例如：法令限制、關鍵議題、利害關係人之訴求與解決方案、跨域協調、資源蒐集或統籌運用之困難等。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具體效益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機關內部行政作業，例如：工作效能、服務成本、團隊協調或機關形象等；外部民眾權益，例如：公益性、服務量、滿意度、便捷性等質化或量化資料。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453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標竿價值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napToGrid w:val="0"/>
              <w:spacing w:line="480" w:lineRule="exac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〔作為標竿案例，值得公務人員學習與效仿之價值，聚焦於公務人員所扮演的公共管理者角色，於解決事件當下所運用的知識、技巧或組織管理內涵，應符合下列核心能力至少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可複選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：願景型塑、風險管理、變革領導、問題分析、績效管理、溝通協調、團隊建立、行政處理能力及公共服務精神等解決問題的能力與過程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  <w:t>註：各核心能力內涵可參考行政院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105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日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  <w:t>核定之行政院所屬機關及地方機關公務人員學習地圖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6"/>
                <w:szCs w:val="32"/>
              </w:rPr>
              <w:t>。〕</w:t>
            </w:r>
          </w:p>
        </w:tc>
      </w:tr>
      <w:tr w:rsidR="00FF2B60" w:rsidTr="00FF2B6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未來延展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B60" w:rsidRDefault="00826E6B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案例分享效益及帶動其他機關學習之擴散效益，或案例未來可能遭遇之侷限及因應方式。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FF2B60" w:rsidRDefault="00FF2B60">
      <w:pPr>
        <w:pStyle w:val="a7"/>
        <w:spacing w:line="560" w:lineRule="exact"/>
        <w:rPr>
          <w:rFonts w:ascii="標楷體" w:hAnsi="標楷體"/>
          <w:b/>
          <w:color w:val="000000"/>
          <w:szCs w:val="32"/>
        </w:rPr>
      </w:pPr>
    </w:p>
    <w:p w:rsidR="00FF2B60" w:rsidRDefault="00826E6B">
      <w:pPr>
        <w:pStyle w:val="a7"/>
        <w:numPr>
          <w:ilvl w:val="0"/>
          <w:numId w:val="2"/>
        </w:numPr>
        <w:spacing w:line="560" w:lineRule="exact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/>
          <w:b/>
          <w:color w:val="000000"/>
          <w:szCs w:val="32"/>
        </w:rPr>
        <w:t>相關附件</w:t>
      </w:r>
    </w:p>
    <w:p w:rsidR="00FF2B60" w:rsidRDefault="00826E6B">
      <w:pPr>
        <w:pStyle w:val="a7"/>
        <w:spacing w:line="560" w:lineRule="exact"/>
        <w:ind w:left="72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相關照片及佐證資料請依序編碼為附件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ascii="Times New Roman" w:hAnsi="Times New Roman" w:cs="Times New Roman"/>
          <w:color w:val="000000"/>
          <w:szCs w:val="32"/>
        </w:rPr>
        <w:t>、附件</w:t>
      </w:r>
      <w:r>
        <w:rPr>
          <w:rFonts w:ascii="Times New Roman" w:hAnsi="Times New Roman" w:cs="Times New Roman"/>
          <w:color w:val="000000"/>
          <w:szCs w:val="32"/>
        </w:rPr>
        <w:t>2</w:t>
      </w:r>
      <w:r>
        <w:rPr>
          <w:rFonts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…</w:t>
      </w:r>
      <w:r>
        <w:rPr>
          <w:rFonts w:ascii="Times New Roman" w:hAnsi="Times New Roman" w:cs="Times New Roman"/>
          <w:color w:val="000000"/>
          <w:szCs w:val="32"/>
        </w:rPr>
        <w:t>，並列出附件清單如下。</w:t>
      </w:r>
    </w:p>
    <w:p w:rsidR="00FF2B60" w:rsidRDefault="00826E6B">
      <w:pPr>
        <w:pStyle w:val="a7"/>
        <w:spacing w:line="560" w:lineRule="exact"/>
        <w:ind w:left="72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附件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ascii="Times New Roman" w:hAnsi="Times New Roman" w:cs="Times New Roman"/>
          <w:color w:val="000000"/>
          <w:szCs w:val="32"/>
        </w:rPr>
        <w:t>：</w:t>
      </w:r>
    </w:p>
    <w:p w:rsidR="00FF2B60" w:rsidRDefault="00826E6B">
      <w:pPr>
        <w:pStyle w:val="a7"/>
        <w:spacing w:after="217" w:line="560" w:lineRule="exact"/>
        <w:ind w:left="720"/>
      </w:pPr>
      <w:r>
        <w:rPr>
          <w:rFonts w:ascii="Times New Roman" w:hAnsi="Times New Roman" w:cs="Times New Roman"/>
          <w:color w:val="000000"/>
          <w:szCs w:val="32"/>
        </w:rPr>
        <w:t>附件</w:t>
      </w:r>
      <w:r>
        <w:rPr>
          <w:rFonts w:ascii="Times New Roman" w:hAnsi="Times New Roman" w:cs="Times New Roman"/>
          <w:color w:val="000000"/>
          <w:szCs w:val="32"/>
        </w:rPr>
        <w:t>2</w:t>
      </w:r>
      <w:r>
        <w:rPr>
          <w:rFonts w:ascii="Times New Roman" w:hAnsi="Times New Roman" w:cs="Times New Roman"/>
          <w:color w:val="000000"/>
          <w:szCs w:val="32"/>
        </w:rPr>
        <w:t>：</w:t>
      </w:r>
      <w:r>
        <w:rPr>
          <w:rFonts w:ascii="標楷體" w:hAnsi="標楷體" w:cs="Times New Roman"/>
          <w:color w:val="000000"/>
          <w:szCs w:val="32"/>
        </w:rPr>
        <w:t>(</w:t>
      </w:r>
      <w:r>
        <w:rPr>
          <w:rFonts w:ascii="Times New Roman" w:hAnsi="Times New Roman" w:cs="Times New Roman"/>
          <w:color w:val="000000"/>
          <w:szCs w:val="32"/>
        </w:rPr>
        <w:t>請自行依序延伸</w:t>
      </w:r>
      <w:r>
        <w:rPr>
          <w:rFonts w:ascii="標楷體" w:hAnsi="標楷體" w:cs="Times New Roman"/>
          <w:color w:val="000000"/>
          <w:szCs w:val="32"/>
        </w:rPr>
        <w:t>)</w:t>
      </w:r>
    </w:p>
    <w:sectPr w:rsidR="00FF2B60" w:rsidSect="00FF2B60">
      <w:footerReference w:type="default" r:id="rId8"/>
      <w:pgSz w:w="11906" w:h="16838"/>
      <w:pgMar w:top="1134" w:right="1418" w:bottom="1134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6B" w:rsidRDefault="00826E6B" w:rsidP="00FF2B60">
      <w:r>
        <w:separator/>
      </w:r>
    </w:p>
  </w:endnote>
  <w:endnote w:type="continuationSeparator" w:id="0">
    <w:p w:rsidR="00826E6B" w:rsidRDefault="00826E6B" w:rsidP="00FF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0" w:rsidRDefault="00FF2B60">
    <w:pPr>
      <w:pStyle w:val="a6"/>
      <w:jc w:val="center"/>
    </w:pPr>
    <w:fldSimple w:instr=" PAGE ">
      <w:r w:rsidR="00826E6B">
        <w:rPr>
          <w:noProof/>
        </w:rPr>
        <w:t>1</w:t>
      </w:r>
    </w:fldSimple>
  </w:p>
  <w:p w:rsidR="00FF2B60" w:rsidRDefault="00FF2B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0" w:rsidRDefault="00FF2B60">
    <w:pPr>
      <w:pStyle w:val="a6"/>
      <w:jc w:val="center"/>
    </w:pPr>
    <w:fldSimple w:instr=" PAGE ">
      <w:r w:rsidR="00733CA7">
        <w:rPr>
          <w:noProof/>
        </w:rPr>
        <w:t>4</w:t>
      </w:r>
    </w:fldSimple>
  </w:p>
  <w:p w:rsidR="00FF2B60" w:rsidRDefault="00FF2B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6B" w:rsidRDefault="00826E6B" w:rsidP="00FF2B60">
      <w:r w:rsidRPr="00FF2B60">
        <w:rPr>
          <w:color w:val="000000"/>
        </w:rPr>
        <w:separator/>
      </w:r>
    </w:p>
  </w:footnote>
  <w:footnote w:type="continuationSeparator" w:id="0">
    <w:p w:rsidR="00826E6B" w:rsidRDefault="00826E6B" w:rsidP="00FF2B60">
      <w:r>
        <w:continuationSeparator/>
      </w:r>
    </w:p>
  </w:footnote>
  <w:footnote w:id="1">
    <w:p w:rsidR="00FF2B60" w:rsidRDefault="00826E6B">
      <w:pPr>
        <w:pStyle w:val="a9"/>
      </w:pPr>
      <w:r w:rsidRPr="00FF2B60">
        <w:rPr>
          <w:rStyle w:val="af"/>
        </w:rPr>
        <w:footnoteRef/>
      </w:r>
      <w:r>
        <w:t>詳參甄選指標。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CE"/>
    <w:multiLevelType w:val="multilevel"/>
    <w:tmpl w:val="2846934C"/>
    <w:styleLink w:val="WWNum3"/>
    <w:lvl w:ilvl="0">
      <w:start w:val="1"/>
      <w:numFmt w:val="japaneseCounting"/>
      <w:lvlText w:val="%1、"/>
      <w:lvlJc w:val="left"/>
      <w:pPr>
        <w:ind w:left="720" w:hanging="72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43647"/>
    <w:multiLevelType w:val="multilevel"/>
    <w:tmpl w:val="FC84D872"/>
    <w:styleLink w:val="WWNum1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C01C4"/>
    <w:multiLevelType w:val="multilevel"/>
    <w:tmpl w:val="BF04A00C"/>
    <w:styleLink w:val="WWNum13"/>
    <w:lvl w:ilvl="0">
      <w:start w:val="1"/>
      <w:numFmt w:val="japaneseCounting"/>
      <w:lvlText w:val="%1、"/>
      <w:lvlJc w:val="left"/>
      <w:pPr>
        <w:ind w:left="720" w:hanging="720"/>
      </w:pPr>
      <w:rPr>
        <w:rFonts w:cs="Tahom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D0FC1"/>
    <w:multiLevelType w:val="multilevel"/>
    <w:tmpl w:val="07F81594"/>
    <w:styleLink w:val="WWNum12"/>
    <w:lvl w:ilvl="0">
      <w:start w:val="1"/>
      <w:numFmt w:val="japaneseCounting"/>
      <w:lvlText w:val="(%1)"/>
      <w:lvlJc w:val="left"/>
      <w:pPr>
        <w:ind w:left="480" w:hanging="480"/>
      </w:pPr>
      <w:rPr>
        <w:rFonts w:eastAsia="標楷體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00832"/>
    <w:multiLevelType w:val="multilevel"/>
    <w:tmpl w:val="2D880C8A"/>
    <w:styleLink w:val="WWNum9"/>
    <w:lvl w:ilvl="0">
      <w:start w:val="1"/>
      <w:numFmt w:val="japaneseCounting"/>
      <w:lvlText w:val="%1、"/>
      <w:lvlJc w:val="left"/>
      <w:pPr>
        <w:ind w:left="1044" w:hanging="720"/>
      </w:pPr>
    </w:lvl>
    <w:lvl w:ilvl="1">
      <w:start w:val="1"/>
      <w:numFmt w:val="ideographTraditional"/>
      <w:lvlText w:val="%2、"/>
      <w:lvlJc w:val="left"/>
      <w:pPr>
        <w:ind w:left="1284" w:hanging="480"/>
      </w:pPr>
    </w:lvl>
    <w:lvl w:ilvl="2">
      <w:start w:val="1"/>
      <w:numFmt w:val="lowerRoman"/>
      <w:lvlText w:val="%3."/>
      <w:lvlJc w:val="right"/>
      <w:pPr>
        <w:ind w:left="1764" w:hanging="480"/>
      </w:pPr>
    </w:lvl>
    <w:lvl w:ilvl="3">
      <w:start w:val="1"/>
      <w:numFmt w:val="decimal"/>
      <w:lvlText w:val="%4."/>
      <w:lvlJc w:val="left"/>
      <w:pPr>
        <w:ind w:left="2244" w:hanging="480"/>
      </w:pPr>
    </w:lvl>
    <w:lvl w:ilvl="4">
      <w:start w:val="1"/>
      <w:numFmt w:val="ideographTraditional"/>
      <w:lvlText w:val="%5、"/>
      <w:lvlJc w:val="left"/>
      <w:pPr>
        <w:ind w:left="2724" w:hanging="480"/>
      </w:pPr>
    </w:lvl>
    <w:lvl w:ilvl="5">
      <w:start w:val="1"/>
      <w:numFmt w:val="lowerRoman"/>
      <w:lvlText w:val="%6."/>
      <w:lvlJc w:val="right"/>
      <w:pPr>
        <w:ind w:left="3204" w:hanging="480"/>
      </w:pPr>
    </w:lvl>
    <w:lvl w:ilvl="6">
      <w:start w:val="1"/>
      <w:numFmt w:val="decimal"/>
      <w:lvlText w:val="%7."/>
      <w:lvlJc w:val="left"/>
      <w:pPr>
        <w:ind w:left="3684" w:hanging="480"/>
      </w:pPr>
    </w:lvl>
    <w:lvl w:ilvl="7">
      <w:start w:val="1"/>
      <w:numFmt w:val="ideographTraditional"/>
      <w:lvlText w:val="%8、"/>
      <w:lvlJc w:val="left"/>
      <w:pPr>
        <w:ind w:left="4164" w:hanging="480"/>
      </w:pPr>
    </w:lvl>
    <w:lvl w:ilvl="8">
      <w:start w:val="1"/>
      <w:numFmt w:val="lowerRoman"/>
      <w:lvlText w:val="%9."/>
      <w:lvlJc w:val="right"/>
      <w:pPr>
        <w:ind w:left="4644" w:hanging="480"/>
      </w:pPr>
    </w:lvl>
  </w:abstractNum>
  <w:abstractNum w:abstractNumId="5">
    <w:nsid w:val="1B356F73"/>
    <w:multiLevelType w:val="multilevel"/>
    <w:tmpl w:val="BC3E3A1E"/>
    <w:styleLink w:val="WWNum16"/>
    <w:lvl w:ilvl="0">
      <w:start w:val="1"/>
      <w:numFmt w:val="japaneseCounting"/>
      <w:lvlText w:val="%1、"/>
      <w:lvlJc w:val="left"/>
      <w:pPr>
        <w:ind w:left="764" w:hanging="480"/>
      </w:pPr>
      <w:rPr>
        <w:rFonts w:ascii="Times New Roman" w:hAnsi="Times New Roman" w:cs="Tahoma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CFA4FE3"/>
    <w:multiLevelType w:val="multilevel"/>
    <w:tmpl w:val="2028F570"/>
    <w:styleLink w:val="WWNum19"/>
    <w:lvl w:ilvl="0">
      <w:start w:val="1"/>
      <w:numFmt w:val="decimal"/>
      <w:lvlText w:val="(%1)"/>
      <w:lvlJc w:val="left"/>
      <w:pPr>
        <w:ind w:left="1430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22682568"/>
    <w:multiLevelType w:val="multilevel"/>
    <w:tmpl w:val="78FAB57C"/>
    <w:styleLink w:val="WWNum2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D7D4B8B"/>
    <w:multiLevelType w:val="multilevel"/>
    <w:tmpl w:val="BF76B8B6"/>
    <w:styleLink w:val="WWNum20"/>
    <w:lvl w:ilvl="0">
      <w:start w:val="1"/>
      <w:numFmt w:val="decimal"/>
      <w:lvlText w:val="(%1)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317B739F"/>
    <w:multiLevelType w:val="multilevel"/>
    <w:tmpl w:val="E7F66488"/>
    <w:styleLink w:val="WWNum15"/>
    <w:lvl w:ilvl="0">
      <w:start w:val="1"/>
      <w:numFmt w:val="japaneseCounting"/>
      <w:lvlText w:val="(%1)"/>
      <w:lvlJc w:val="left"/>
      <w:pPr>
        <w:ind w:left="1691" w:hanging="840"/>
      </w:pPr>
      <w:rPr>
        <w:rFonts w:ascii="標楷體" w:hAnsi="標楷體"/>
        <w:color w:val="000000"/>
        <w:sz w:val="32"/>
      </w:rPr>
    </w:lvl>
    <w:lvl w:ilvl="1">
      <w:start w:val="1"/>
      <w:numFmt w:val="decimal"/>
      <w:lvlText w:val="%2.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39662AF1"/>
    <w:multiLevelType w:val="multilevel"/>
    <w:tmpl w:val="400EDE88"/>
    <w:styleLink w:val="WWNum4"/>
    <w:lvl w:ilvl="0">
      <w:start w:val="1"/>
      <w:numFmt w:val="japaneseCounting"/>
      <w:lvlText w:val="%1、"/>
      <w:lvlJc w:val="left"/>
      <w:pPr>
        <w:ind w:left="799" w:hanging="480"/>
      </w:pPr>
      <w:rPr>
        <w:rFonts w:cs="Tahoma"/>
      </w:rPr>
    </w:lvl>
    <w:lvl w:ilvl="1">
      <w:start w:val="1"/>
      <w:numFmt w:val="ideographTraditional"/>
      <w:lvlText w:val="%2、"/>
      <w:lvlJc w:val="left"/>
      <w:pPr>
        <w:ind w:left="1279" w:hanging="480"/>
      </w:pPr>
    </w:lvl>
    <w:lvl w:ilvl="2">
      <w:start w:val="1"/>
      <w:numFmt w:val="lowerRoman"/>
      <w:lvlText w:val="%3."/>
      <w:lvlJc w:val="righ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abstractNum w:abstractNumId="11">
    <w:nsid w:val="3DD02406"/>
    <w:multiLevelType w:val="multilevel"/>
    <w:tmpl w:val="5C98C3E8"/>
    <w:styleLink w:val="WWNum18"/>
    <w:lvl w:ilvl="0">
      <w:start w:val="1"/>
      <w:numFmt w:val="japaneseCounting"/>
      <w:lvlText w:val="(%1)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43415764"/>
    <w:multiLevelType w:val="multilevel"/>
    <w:tmpl w:val="D7A446F6"/>
    <w:styleLink w:val="WWNum10"/>
    <w:lvl w:ilvl="0">
      <w:start w:val="1"/>
      <w:numFmt w:val="japaneseCounting"/>
      <w:lvlText w:val="(%1)"/>
      <w:lvlJc w:val="left"/>
      <w:pPr>
        <w:ind w:left="1549" w:hanging="840"/>
      </w:pPr>
      <w:rPr>
        <w:rFonts w:ascii="標楷體" w:hAnsi="標楷體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5D71955"/>
    <w:multiLevelType w:val="multilevel"/>
    <w:tmpl w:val="315AA00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932B04"/>
    <w:multiLevelType w:val="multilevel"/>
    <w:tmpl w:val="FA286D8C"/>
    <w:styleLink w:val="WWNum8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hAnsi="標楷體" w:cs="Tahoma"/>
        <w:sz w:val="32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B913C1E"/>
    <w:multiLevelType w:val="multilevel"/>
    <w:tmpl w:val="28746A9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>
    <w:nsid w:val="4FB938D4"/>
    <w:multiLevelType w:val="multilevel"/>
    <w:tmpl w:val="CF245220"/>
    <w:styleLink w:val="WWNum11"/>
    <w:lvl w:ilvl="0">
      <w:start w:val="1"/>
      <w:numFmt w:val="japaneseCounting"/>
      <w:lvlText w:val="(%1)"/>
      <w:lvlJc w:val="left"/>
      <w:pPr>
        <w:ind w:left="1407" w:hanging="84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BB16CB0"/>
    <w:multiLevelType w:val="multilevel"/>
    <w:tmpl w:val="FB42B926"/>
    <w:styleLink w:val="WWNum7"/>
    <w:lvl w:ilvl="0">
      <w:start w:val="1"/>
      <w:numFmt w:val="japaneseCounting"/>
      <w:lvlText w:val="%1、"/>
      <w:lvlJc w:val="left"/>
      <w:pPr>
        <w:ind w:left="763" w:hanging="480"/>
      </w:pPr>
      <w:rPr>
        <w:rFonts w:ascii="標楷體" w:hAnsi="標楷體" w:cs="Tahoma"/>
        <w:sz w:val="32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5FA5075C"/>
    <w:multiLevelType w:val="multilevel"/>
    <w:tmpl w:val="0EB47500"/>
    <w:styleLink w:val="WWNum5"/>
    <w:lvl w:ilvl="0">
      <w:start w:val="1"/>
      <w:numFmt w:val="japaneseCounting"/>
      <w:lvlText w:val="%1、"/>
      <w:lvlJc w:val="left"/>
      <w:pPr>
        <w:ind w:left="1039" w:hanging="720"/>
      </w:pPr>
    </w:lvl>
    <w:lvl w:ilvl="1">
      <w:start w:val="1"/>
      <w:numFmt w:val="ideographTraditional"/>
      <w:lvlText w:val="%2、"/>
      <w:lvlJc w:val="left"/>
      <w:pPr>
        <w:ind w:left="1279" w:hanging="480"/>
      </w:pPr>
    </w:lvl>
    <w:lvl w:ilvl="2">
      <w:start w:val="1"/>
      <w:numFmt w:val="lowerRoman"/>
      <w:lvlText w:val="%3."/>
      <w:lvlJc w:val="righ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abstractNum w:abstractNumId="19">
    <w:nsid w:val="74DB34ED"/>
    <w:multiLevelType w:val="multilevel"/>
    <w:tmpl w:val="47FCEF60"/>
    <w:styleLink w:val="WWNum6"/>
    <w:lvl w:ilvl="0">
      <w:start w:val="1"/>
      <w:numFmt w:val="japaneseCounting"/>
      <w:lvlText w:val="%1、"/>
      <w:lvlJc w:val="left"/>
      <w:pPr>
        <w:ind w:left="763" w:hanging="480"/>
      </w:pPr>
      <w:rPr>
        <w:rFonts w:ascii="Times New Roman" w:hAnsi="Times New Roman" w:cs="Tahoma"/>
        <w:sz w:val="32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76B432AB"/>
    <w:multiLevelType w:val="multilevel"/>
    <w:tmpl w:val="1F22AF6E"/>
    <w:styleLink w:val="WWNum17"/>
    <w:lvl w:ilvl="0">
      <w:start w:val="1"/>
      <w:numFmt w:val="japaneseCounting"/>
      <w:lvlText w:val="(%1)"/>
      <w:lvlJc w:val="left"/>
      <w:pPr>
        <w:ind w:left="862" w:hanging="720"/>
      </w:pPr>
      <w:rPr>
        <w:rFonts w:ascii="Times New Roman" w:eastAsia="標楷體" w:hAnsi="Times New Roman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8"/>
  </w:num>
  <w:num w:numId="7">
    <w:abstractNumId w:val="19"/>
  </w:num>
  <w:num w:numId="8">
    <w:abstractNumId w:val="17"/>
  </w:num>
  <w:num w:numId="9">
    <w:abstractNumId w:val="14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8"/>
  </w:num>
  <w:num w:numId="22">
    <w:abstractNumId w:val="19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B60"/>
    <w:rsid w:val="00733CA7"/>
    <w:rsid w:val="00826E6B"/>
    <w:rsid w:val="00FF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B6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B60"/>
    <w:pPr>
      <w:suppressAutoHyphens/>
      <w:jc w:val="both"/>
    </w:pPr>
  </w:style>
  <w:style w:type="paragraph" w:customStyle="1" w:styleId="Heading">
    <w:name w:val="Heading"/>
    <w:basedOn w:val="Standard"/>
    <w:next w:val="Textbody"/>
    <w:rsid w:val="00FF2B6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F2B60"/>
    <w:pPr>
      <w:spacing w:after="140" w:line="288" w:lineRule="auto"/>
    </w:pPr>
  </w:style>
  <w:style w:type="paragraph" w:styleId="a3">
    <w:name w:val="List"/>
    <w:basedOn w:val="Textbody"/>
    <w:rsid w:val="00FF2B60"/>
    <w:rPr>
      <w:rFonts w:cs="Lucida Sans"/>
    </w:rPr>
  </w:style>
  <w:style w:type="paragraph" w:styleId="a4">
    <w:name w:val="caption"/>
    <w:basedOn w:val="Standard"/>
    <w:rsid w:val="00FF2B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FF2B60"/>
    <w:pPr>
      <w:suppressLineNumbers/>
    </w:pPr>
    <w:rPr>
      <w:rFonts w:cs="Lucida Sans"/>
    </w:rPr>
  </w:style>
  <w:style w:type="paragraph" w:styleId="a5">
    <w:name w:val="header"/>
    <w:basedOn w:val="Standard"/>
    <w:rsid w:val="00FF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FF2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FF2B60"/>
    <w:pPr>
      <w:ind w:left="480"/>
    </w:pPr>
    <w:rPr>
      <w:rFonts w:eastAsia="標楷體"/>
      <w:sz w:val="32"/>
    </w:rPr>
  </w:style>
  <w:style w:type="paragraph" w:styleId="a8">
    <w:name w:val="Balloon Text"/>
    <w:basedOn w:val="Standard"/>
    <w:rsid w:val="00FF2B60"/>
    <w:rPr>
      <w:rFonts w:ascii="Cambria" w:hAnsi="Cambria"/>
      <w:sz w:val="18"/>
      <w:szCs w:val="18"/>
    </w:rPr>
  </w:style>
  <w:style w:type="paragraph" w:styleId="a9">
    <w:name w:val="footnote text"/>
    <w:basedOn w:val="Standard"/>
    <w:rsid w:val="00FF2B60"/>
    <w:pPr>
      <w:snapToGrid w:val="0"/>
    </w:pPr>
    <w:rPr>
      <w:sz w:val="20"/>
      <w:szCs w:val="20"/>
    </w:rPr>
  </w:style>
  <w:style w:type="paragraph" w:styleId="aa">
    <w:name w:val="Revision"/>
    <w:rsid w:val="00FF2B60"/>
    <w:pPr>
      <w:widowControl/>
      <w:suppressAutoHyphens/>
    </w:pPr>
  </w:style>
  <w:style w:type="paragraph" w:customStyle="1" w:styleId="Footnote">
    <w:name w:val="Footnote"/>
    <w:basedOn w:val="Standard"/>
    <w:rsid w:val="00FF2B60"/>
  </w:style>
  <w:style w:type="paragraph" w:customStyle="1" w:styleId="TableContents">
    <w:name w:val="Table Contents"/>
    <w:basedOn w:val="Standard"/>
    <w:rsid w:val="00FF2B60"/>
  </w:style>
  <w:style w:type="paragraph" w:customStyle="1" w:styleId="TableHeading">
    <w:name w:val="Table Heading"/>
    <w:basedOn w:val="TableContents"/>
    <w:rsid w:val="00FF2B60"/>
  </w:style>
  <w:style w:type="character" w:customStyle="1" w:styleId="ab">
    <w:name w:val="頁首 字元"/>
    <w:basedOn w:val="a0"/>
    <w:rsid w:val="00FF2B60"/>
    <w:rPr>
      <w:sz w:val="20"/>
      <w:szCs w:val="20"/>
    </w:rPr>
  </w:style>
  <w:style w:type="character" w:customStyle="1" w:styleId="ac">
    <w:name w:val="頁尾 字元"/>
    <w:basedOn w:val="a0"/>
    <w:rsid w:val="00FF2B60"/>
    <w:rPr>
      <w:sz w:val="20"/>
      <w:szCs w:val="20"/>
    </w:rPr>
  </w:style>
  <w:style w:type="character" w:customStyle="1" w:styleId="ad">
    <w:name w:val="註解方塊文字 字元"/>
    <w:basedOn w:val="a0"/>
    <w:rsid w:val="00FF2B60"/>
    <w:rPr>
      <w:rFonts w:ascii="Cambria" w:eastAsia="新細明體" w:hAnsi="Cambria" w:cs="Tahoma"/>
      <w:sz w:val="18"/>
      <w:szCs w:val="18"/>
    </w:rPr>
  </w:style>
  <w:style w:type="character" w:customStyle="1" w:styleId="ae">
    <w:name w:val="註腳文字 字元"/>
    <w:basedOn w:val="a0"/>
    <w:rsid w:val="00FF2B60"/>
    <w:rPr>
      <w:sz w:val="20"/>
      <w:szCs w:val="20"/>
    </w:rPr>
  </w:style>
  <w:style w:type="character" w:styleId="af">
    <w:name w:val="footnote reference"/>
    <w:basedOn w:val="a0"/>
    <w:rsid w:val="00FF2B60"/>
    <w:rPr>
      <w:position w:val="0"/>
      <w:vertAlign w:val="superscript"/>
    </w:rPr>
  </w:style>
  <w:style w:type="character" w:customStyle="1" w:styleId="ListLabel1">
    <w:name w:val="ListLabel 1"/>
    <w:rsid w:val="00FF2B60"/>
    <w:rPr>
      <w:rFonts w:cs="Tahoma"/>
      <w:lang w:val="en-US"/>
    </w:rPr>
  </w:style>
  <w:style w:type="character" w:customStyle="1" w:styleId="ListLabel2">
    <w:name w:val="ListLabel 2"/>
    <w:rsid w:val="00FF2B60"/>
    <w:rPr>
      <w:rFonts w:cs="Tahoma"/>
    </w:rPr>
  </w:style>
  <w:style w:type="character" w:customStyle="1" w:styleId="ListLabel3">
    <w:name w:val="ListLabel 3"/>
    <w:rsid w:val="00FF2B60"/>
    <w:rPr>
      <w:rFonts w:ascii="Times New Roman" w:eastAsia="Times New Roman" w:hAnsi="Times New Roman" w:cs="Tahoma"/>
      <w:sz w:val="32"/>
    </w:rPr>
  </w:style>
  <w:style w:type="character" w:customStyle="1" w:styleId="ListLabel4">
    <w:name w:val="ListLabel 4"/>
    <w:rsid w:val="00FF2B60"/>
    <w:rPr>
      <w:rFonts w:ascii="標楷體" w:eastAsia="標楷體" w:hAnsi="標楷體" w:cs="Tahoma"/>
      <w:sz w:val="32"/>
    </w:rPr>
  </w:style>
  <w:style w:type="character" w:customStyle="1" w:styleId="ListLabel5">
    <w:name w:val="ListLabel 5"/>
    <w:rsid w:val="00FF2B60"/>
    <w:rPr>
      <w:rFonts w:ascii="標楷體" w:eastAsia="標楷體" w:hAnsi="標楷體" w:cs="Tahoma"/>
      <w:sz w:val="32"/>
    </w:rPr>
  </w:style>
  <w:style w:type="character" w:customStyle="1" w:styleId="ListLabel6">
    <w:name w:val="ListLabel 6"/>
    <w:rsid w:val="00FF2B60"/>
    <w:rPr>
      <w:rFonts w:ascii="標楷體" w:eastAsia="標楷體" w:hAnsi="標楷體" w:cs="標楷體"/>
      <w:color w:val="000000"/>
      <w:sz w:val="32"/>
    </w:rPr>
  </w:style>
  <w:style w:type="character" w:customStyle="1" w:styleId="ListLabel7">
    <w:name w:val="ListLabel 7"/>
    <w:rsid w:val="00FF2B60"/>
    <w:rPr>
      <w:rFonts w:eastAsia="標楷體"/>
      <w:sz w:val="32"/>
    </w:rPr>
  </w:style>
  <w:style w:type="character" w:customStyle="1" w:styleId="ListLabel8">
    <w:name w:val="ListLabel 8"/>
    <w:rsid w:val="00FF2B60"/>
    <w:rPr>
      <w:rFonts w:cs="Tahoma"/>
    </w:rPr>
  </w:style>
  <w:style w:type="character" w:customStyle="1" w:styleId="ListLabel9">
    <w:name w:val="ListLabel 9"/>
    <w:rsid w:val="00FF2B60"/>
    <w:rPr>
      <w:rFonts w:ascii="標楷體" w:eastAsia="標楷體" w:hAnsi="標楷體" w:cs="標楷體"/>
      <w:color w:val="000000"/>
      <w:sz w:val="32"/>
    </w:rPr>
  </w:style>
  <w:style w:type="character" w:customStyle="1" w:styleId="ListLabel10">
    <w:name w:val="ListLabel 10"/>
    <w:rsid w:val="00FF2B60"/>
    <w:rPr>
      <w:rFonts w:ascii="Times New Roman" w:eastAsia="Times New Roman" w:hAnsi="Times New Roman" w:cs="Tahoma"/>
      <w:b/>
      <w:sz w:val="32"/>
      <w:lang w:val="en-US"/>
    </w:rPr>
  </w:style>
  <w:style w:type="character" w:customStyle="1" w:styleId="ListLabel11">
    <w:name w:val="ListLabel 11"/>
    <w:rsid w:val="00FF2B60"/>
    <w:rPr>
      <w:rFonts w:ascii="Times New Roman" w:eastAsia="標楷體" w:hAnsi="Times New Roman" w:cs="Times New Roman"/>
      <w:color w:val="000000"/>
      <w:sz w:val="32"/>
    </w:rPr>
  </w:style>
  <w:style w:type="character" w:customStyle="1" w:styleId="FootnoteSymbol">
    <w:name w:val="Footnote Symbol"/>
    <w:rsid w:val="00FF2B60"/>
  </w:style>
  <w:style w:type="character" w:customStyle="1" w:styleId="Footnoteanchor">
    <w:name w:val="Footnote anchor"/>
    <w:rsid w:val="00FF2B60"/>
    <w:rPr>
      <w:position w:val="0"/>
      <w:vertAlign w:val="superscript"/>
    </w:rPr>
  </w:style>
  <w:style w:type="numbering" w:customStyle="1" w:styleId="NoList">
    <w:name w:val="No List"/>
    <w:basedOn w:val="a2"/>
    <w:rsid w:val="00FF2B60"/>
    <w:pPr>
      <w:numPr>
        <w:numId w:val="1"/>
      </w:numPr>
    </w:pPr>
  </w:style>
  <w:style w:type="numbering" w:customStyle="1" w:styleId="WWNum1">
    <w:name w:val="WWNum1"/>
    <w:basedOn w:val="a2"/>
    <w:rsid w:val="00FF2B60"/>
    <w:pPr>
      <w:numPr>
        <w:numId w:val="2"/>
      </w:numPr>
    </w:pPr>
  </w:style>
  <w:style w:type="numbering" w:customStyle="1" w:styleId="WWNum2">
    <w:name w:val="WWNum2"/>
    <w:basedOn w:val="a2"/>
    <w:rsid w:val="00FF2B60"/>
    <w:pPr>
      <w:numPr>
        <w:numId w:val="3"/>
      </w:numPr>
    </w:pPr>
  </w:style>
  <w:style w:type="numbering" w:customStyle="1" w:styleId="WWNum3">
    <w:name w:val="WWNum3"/>
    <w:basedOn w:val="a2"/>
    <w:rsid w:val="00FF2B60"/>
    <w:pPr>
      <w:numPr>
        <w:numId w:val="4"/>
      </w:numPr>
    </w:pPr>
  </w:style>
  <w:style w:type="numbering" w:customStyle="1" w:styleId="WWNum4">
    <w:name w:val="WWNum4"/>
    <w:basedOn w:val="a2"/>
    <w:rsid w:val="00FF2B60"/>
    <w:pPr>
      <w:numPr>
        <w:numId w:val="5"/>
      </w:numPr>
    </w:pPr>
  </w:style>
  <w:style w:type="numbering" w:customStyle="1" w:styleId="WWNum5">
    <w:name w:val="WWNum5"/>
    <w:basedOn w:val="a2"/>
    <w:rsid w:val="00FF2B60"/>
    <w:pPr>
      <w:numPr>
        <w:numId w:val="6"/>
      </w:numPr>
    </w:pPr>
  </w:style>
  <w:style w:type="numbering" w:customStyle="1" w:styleId="WWNum6">
    <w:name w:val="WWNum6"/>
    <w:basedOn w:val="a2"/>
    <w:rsid w:val="00FF2B60"/>
    <w:pPr>
      <w:numPr>
        <w:numId w:val="7"/>
      </w:numPr>
    </w:pPr>
  </w:style>
  <w:style w:type="numbering" w:customStyle="1" w:styleId="WWNum7">
    <w:name w:val="WWNum7"/>
    <w:basedOn w:val="a2"/>
    <w:rsid w:val="00FF2B60"/>
    <w:pPr>
      <w:numPr>
        <w:numId w:val="8"/>
      </w:numPr>
    </w:pPr>
  </w:style>
  <w:style w:type="numbering" w:customStyle="1" w:styleId="WWNum8">
    <w:name w:val="WWNum8"/>
    <w:basedOn w:val="a2"/>
    <w:rsid w:val="00FF2B60"/>
    <w:pPr>
      <w:numPr>
        <w:numId w:val="9"/>
      </w:numPr>
    </w:pPr>
  </w:style>
  <w:style w:type="numbering" w:customStyle="1" w:styleId="WWNum9">
    <w:name w:val="WWNum9"/>
    <w:basedOn w:val="a2"/>
    <w:rsid w:val="00FF2B60"/>
    <w:pPr>
      <w:numPr>
        <w:numId w:val="10"/>
      </w:numPr>
    </w:pPr>
  </w:style>
  <w:style w:type="numbering" w:customStyle="1" w:styleId="WWNum10">
    <w:name w:val="WWNum10"/>
    <w:basedOn w:val="a2"/>
    <w:rsid w:val="00FF2B60"/>
    <w:pPr>
      <w:numPr>
        <w:numId w:val="11"/>
      </w:numPr>
    </w:pPr>
  </w:style>
  <w:style w:type="numbering" w:customStyle="1" w:styleId="WWNum11">
    <w:name w:val="WWNum11"/>
    <w:basedOn w:val="a2"/>
    <w:rsid w:val="00FF2B60"/>
    <w:pPr>
      <w:numPr>
        <w:numId w:val="12"/>
      </w:numPr>
    </w:pPr>
  </w:style>
  <w:style w:type="numbering" w:customStyle="1" w:styleId="WWNum12">
    <w:name w:val="WWNum12"/>
    <w:basedOn w:val="a2"/>
    <w:rsid w:val="00FF2B60"/>
    <w:pPr>
      <w:numPr>
        <w:numId w:val="13"/>
      </w:numPr>
    </w:pPr>
  </w:style>
  <w:style w:type="numbering" w:customStyle="1" w:styleId="WWNum13">
    <w:name w:val="WWNum13"/>
    <w:basedOn w:val="a2"/>
    <w:rsid w:val="00FF2B60"/>
    <w:pPr>
      <w:numPr>
        <w:numId w:val="14"/>
      </w:numPr>
    </w:pPr>
  </w:style>
  <w:style w:type="numbering" w:customStyle="1" w:styleId="WWNum14">
    <w:name w:val="WWNum14"/>
    <w:basedOn w:val="a2"/>
    <w:rsid w:val="00FF2B60"/>
    <w:pPr>
      <w:numPr>
        <w:numId w:val="15"/>
      </w:numPr>
    </w:pPr>
  </w:style>
  <w:style w:type="numbering" w:customStyle="1" w:styleId="WWNum15">
    <w:name w:val="WWNum15"/>
    <w:basedOn w:val="a2"/>
    <w:rsid w:val="00FF2B60"/>
    <w:pPr>
      <w:numPr>
        <w:numId w:val="16"/>
      </w:numPr>
    </w:pPr>
  </w:style>
  <w:style w:type="numbering" w:customStyle="1" w:styleId="WWNum16">
    <w:name w:val="WWNum16"/>
    <w:basedOn w:val="a2"/>
    <w:rsid w:val="00FF2B60"/>
    <w:pPr>
      <w:numPr>
        <w:numId w:val="17"/>
      </w:numPr>
    </w:pPr>
  </w:style>
  <w:style w:type="numbering" w:customStyle="1" w:styleId="WWNum17">
    <w:name w:val="WWNum17"/>
    <w:basedOn w:val="a2"/>
    <w:rsid w:val="00FF2B60"/>
    <w:pPr>
      <w:numPr>
        <w:numId w:val="18"/>
      </w:numPr>
    </w:pPr>
  </w:style>
  <w:style w:type="numbering" w:customStyle="1" w:styleId="WWNum18">
    <w:name w:val="WWNum18"/>
    <w:basedOn w:val="a2"/>
    <w:rsid w:val="00FF2B60"/>
    <w:pPr>
      <w:numPr>
        <w:numId w:val="19"/>
      </w:numPr>
    </w:pPr>
  </w:style>
  <w:style w:type="numbering" w:customStyle="1" w:styleId="WWNum19">
    <w:name w:val="WWNum19"/>
    <w:basedOn w:val="a2"/>
    <w:rsid w:val="00FF2B60"/>
    <w:pPr>
      <w:numPr>
        <w:numId w:val="20"/>
      </w:numPr>
    </w:pPr>
  </w:style>
  <w:style w:type="numbering" w:customStyle="1" w:styleId="WWNum20">
    <w:name w:val="WWNum20"/>
    <w:basedOn w:val="a2"/>
    <w:rsid w:val="00FF2B6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陳志毅</dc:creator>
  <cp:lastModifiedBy>DLM003</cp:lastModifiedBy>
  <cp:revision>2</cp:revision>
  <cp:lastPrinted>2020-12-22T14:49:00Z</cp:lastPrinted>
  <dcterms:created xsi:type="dcterms:W3CDTF">2021-01-29T03:28:00Z</dcterms:created>
  <dcterms:modified xsi:type="dcterms:W3CDTF">2021-01-29T03:28:00Z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