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72" w:rsidRDefault="008916DB" w:rsidP="00050272">
      <w:pPr>
        <w:jc w:val="center"/>
        <w:rPr>
          <w:rFonts w:ascii="標楷體" w:eastAsia="標楷體" w:hAnsi="標楷體"/>
          <w:b/>
          <w:sz w:val="32"/>
          <w:szCs w:val="32"/>
        </w:rPr>
      </w:pPr>
      <w:r w:rsidRPr="008916DB">
        <w:rPr>
          <w:rFonts w:ascii="標楷體" w:eastAsia="標楷體" w:hAnsi="標楷體" w:hint="eastAsia"/>
          <w:b/>
          <w:sz w:val="32"/>
          <w:szCs w:val="32"/>
        </w:rPr>
        <w:t>嘉義縣政府及所屬機關員工差勤管理查核措施</w:t>
      </w:r>
    </w:p>
    <w:p w:rsidR="00050272" w:rsidRDefault="008916DB" w:rsidP="00050272">
      <w:pPr>
        <w:jc w:val="right"/>
        <w:rPr>
          <w:rFonts w:ascii="標楷體" w:eastAsia="標楷體" w:hAnsi="標楷體"/>
          <w:sz w:val="20"/>
          <w:szCs w:val="20"/>
        </w:rPr>
      </w:pPr>
      <w:r>
        <w:rPr>
          <w:rFonts w:ascii="標楷體" w:eastAsia="標楷體" w:hAnsi="標楷體"/>
          <w:sz w:val="20"/>
          <w:szCs w:val="20"/>
        </w:rPr>
        <w:t>99</w:t>
      </w:r>
      <w:r w:rsidR="00050272" w:rsidRPr="0078260E">
        <w:rPr>
          <w:rFonts w:ascii="標楷體" w:eastAsia="標楷體" w:hAnsi="標楷體" w:hint="eastAsia"/>
          <w:sz w:val="20"/>
          <w:szCs w:val="20"/>
        </w:rPr>
        <w:t>年</w:t>
      </w:r>
      <w:r>
        <w:rPr>
          <w:rFonts w:ascii="標楷體" w:eastAsia="標楷體" w:hAnsi="標楷體"/>
          <w:sz w:val="20"/>
          <w:szCs w:val="20"/>
        </w:rPr>
        <w:t>3</w:t>
      </w:r>
      <w:r w:rsidR="00050272" w:rsidRPr="0078260E">
        <w:rPr>
          <w:rFonts w:ascii="標楷體" w:eastAsia="標楷體" w:hAnsi="標楷體" w:hint="eastAsia"/>
          <w:sz w:val="20"/>
          <w:szCs w:val="20"/>
        </w:rPr>
        <w:t>月</w:t>
      </w:r>
      <w:r w:rsidR="00D84D6A">
        <w:rPr>
          <w:rFonts w:ascii="標楷體" w:eastAsia="標楷體" w:hAnsi="標楷體" w:hint="eastAsia"/>
          <w:sz w:val="20"/>
          <w:szCs w:val="20"/>
        </w:rPr>
        <w:t>1</w:t>
      </w:r>
      <w:r>
        <w:rPr>
          <w:rFonts w:ascii="標楷體" w:eastAsia="標楷體" w:hAnsi="標楷體"/>
          <w:sz w:val="20"/>
          <w:szCs w:val="20"/>
        </w:rPr>
        <w:t>6</w:t>
      </w:r>
      <w:r w:rsidR="00D84D6A">
        <w:rPr>
          <w:rFonts w:ascii="標楷體" w:eastAsia="標楷體" w:hAnsi="標楷體" w:hint="eastAsia"/>
          <w:sz w:val="20"/>
          <w:szCs w:val="20"/>
        </w:rPr>
        <w:t>日</w:t>
      </w:r>
      <w:r w:rsidRPr="008916DB">
        <w:rPr>
          <w:rFonts w:ascii="標楷體" w:eastAsia="標楷體" w:hAnsi="標楷體" w:hint="eastAsia"/>
          <w:sz w:val="20"/>
          <w:szCs w:val="20"/>
        </w:rPr>
        <w:t>府人考字第0990048540</w:t>
      </w:r>
      <w:r>
        <w:rPr>
          <w:rFonts w:ascii="標楷體" w:eastAsia="標楷體" w:hAnsi="標楷體" w:hint="eastAsia"/>
          <w:sz w:val="20"/>
          <w:szCs w:val="20"/>
        </w:rPr>
        <w:t>號</w:t>
      </w:r>
      <w:r w:rsidR="00050272" w:rsidRPr="0078260E">
        <w:rPr>
          <w:rFonts w:ascii="標楷體" w:eastAsia="標楷體" w:hAnsi="標楷體" w:hint="eastAsia"/>
          <w:sz w:val="20"/>
          <w:szCs w:val="20"/>
        </w:rPr>
        <w:t>函訂定</w:t>
      </w:r>
    </w:p>
    <w:p w:rsidR="00572E13" w:rsidRDefault="00050272" w:rsidP="00B217E5">
      <w:pPr>
        <w:tabs>
          <w:tab w:val="left" w:pos="2160"/>
        </w:tabs>
        <w:wordWrap w:val="0"/>
        <w:jc w:val="right"/>
        <w:rPr>
          <w:rFonts w:ascii="標楷體" w:eastAsia="標楷體" w:hAnsi="標楷體"/>
          <w:sz w:val="20"/>
          <w:szCs w:val="20"/>
        </w:rPr>
      </w:pPr>
      <w:r w:rsidRPr="0078260E">
        <w:rPr>
          <w:rFonts w:ascii="標楷體" w:eastAsia="標楷體" w:hAnsi="標楷體" w:hint="eastAsia"/>
          <w:sz w:val="20"/>
          <w:szCs w:val="20"/>
        </w:rPr>
        <w:t>109年</w:t>
      </w:r>
      <w:r w:rsidR="001B75A1">
        <w:rPr>
          <w:rFonts w:ascii="標楷體" w:eastAsia="標楷體" w:hAnsi="標楷體" w:hint="eastAsia"/>
          <w:sz w:val="20"/>
          <w:szCs w:val="20"/>
        </w:rPr>
        <w:t>8</w:t>
      </w:r>
      <w:r w:rsidRPr="0078260E">
        <w:rPr>
          <w:rFonts w:ascii="標楷體" w:eastAsia="標楷體" w:hAnsi="標楷體" w:hint="eastAsia"/>
          <w:sz w:val="20"/>
          <w:szCs w:val="20"/>
        </w:rPr>
        <w:t>月</w:t>
      </w:r>
      <w:r w:rsidR="001B75A1">
        <w:rPr>
          <w:rFonts w:ascii="標楷體" w:eastAsia="標楷體" w:hAnsi="標楷體" w:hint="eastAsia"/>
          <w:sz w:val="20"/>
          <w:szCs w:val="20"/>
        </w:rPr>
        <w:t>26</w:t>
      </w:r>
      <w:r w:rsidRPr="0078260E">
        <w:rPr>
          <w:rFonts w:ascii="標楷體" w:eastAsia="標楷體" w:hAnsi="標楷體" w:hint="eastAsia"/>
          <w:sz w:val="20"/>
          <w:szCs w:val="20"/>
        </w:rPr>
        <w:t>日府人考字第</w:t>
      </w:r>
      <w:r w:rsidR="00344FB8" w:rsidRPr="00344FB8">
        <w:rPr>
          <w:rFonts w:ascii="標楷體" w:eastAsia="標楷體" w:hAnsi="標楷體"/>
          <w:sz w:val="20"/>
          <w:szCs w:val="20"/>
        </w:rPr>
        <w:t>10901927</w:t>
      </w:r>
      <w:bookmarkStart w:id="0" w:name="_GoBack"/>
      <w:bookmarkEnd w:id="0"/>
      <w:r w:rsidR="00344FB8" w:rsidRPr="00344FB8">
        <w:rPr>
          <w:rFonts w:ascii="標楷體" w:eastAsia="標楷體" w:hAnsi="標楷體"/>
          <w:sz w:val="20"/>
          <w:szCs w:val="20"/>
        </w:rPr>
        <w:t>43</w:t>
      </w:r>
      <w:r w:rsidRPr="0078260E">
        <w:rPr>
          <w:rFonts w:ascii="標楷體" w:eastAsia="標楷體" w:hAnsi="標楷體" w:hint="eastAsia"/>
          <w:sz w:val="20"/>
          <w:szCs w:val="20"/>
        </w:rPr>
        <w:t>號函修正第</w:t>
      </w:r>
      <w:r w:rsidR="00A33693">
        <w:rPr>
          <w:rFonts w:ascii="標楷體" w:eastAsia="標楷體" w:hAnsi="標楷體" w:hint="eastAsia"/>
          <w:sz w:val="20"/>
          <w:szCs w:val="20"/>
        </w:rPr>
        <w:t>肆</w:t>
      </w:r>
      <w:r w:rsidRPr="0078260E">
        <w:rPr>
          <w:rFonts w:ascii="標楷體" w:eastAsia="標楷體" w:hAnsi="標楷體" w:hint="eastAsia"/>
          <w:sz w:val="20"/>
          <w:szCs w:val="20"/>
        </w:rPr>
        <w:t>點</w:t>
      </w:r>
      <w:r w:rsidR="004B6CF5">
        <w:rPr>
          <w:rFonts w:ascii="標楷體" w:eastAsia="標楷體" w:hAnsi="標楷體" w:hint="eastAsia"/>
          <w:sz w:val="20"/>
          <w:szCs w:val="20"/>
        </w:rPr>
        <w:t>、第伍點</w:t>
      </w:r>
      <w:r w:rsidR="00217517">
        <w:rPr>
          <w:rFonts w:ascii="標楷體" w:eastAsia="標楷體" w:hAnsi="標楷體" w:hint="eastAsia"/>
          <w:sz w:val="20"/>
          <w:szCs w:val="20"/>
        </w:rPr>
        <w:t>、第陸點</w:t>
      </w:r>
    </w:p>
    <w:p w:rsidR="00B217E5" w:rsidRPr="00B217E5" w:rsidRDefault="00B217E5" w:rsidP="00B217E5">
      <w:pPr>
        <w:tabs>
          <w:tab w:val="left" w:pos="2160"/>
        </w:tabs>
        <w:jc w:val="right"/>
        <w:rPr>
          <w:rFonts w:ascii="標楷體" w:eastAsia="標楷體" w:hAnsi="標楷體"/>
          <w:sz w:val="20"/>
          <w:szCs w:val="20"/>
        </w:rPr>
      </w:pPr>
    </w:p>
    <w:p w:rsidR="008916DB" w:rsidRDefault="008916DB" w:rsidP="008916DB">
      <w:pPr>
        <w:pStyle w:val="a3"/>
        <w:numPr>
          <w:ilvl w:val="0"/>
          <w:numId w:val="23"/>
        </w:numPr>
        <w:ind w:leftChars="0"/>
        <w:jc w:val="both"/>
        <w:rPr>
          <w:rFonts w:ascii="標楷體" w:eastAsia="標楷體" w:hAnsi="標楷體"/>
        </w:rPr>
      </w:pPr>
      <w:r w:rsidRPr="008916DB">
        <w:rPr>
          <w:rFonts w:ascii="標楷體" w:eastAsia="標楷體" w:hAnsi="標楷體" w:hint="eastAsia"/>
        </w:rPr>
        <w:t>目的：嘉義縣政府（以下簡稱本府）為維護公務紀律，提高工作效能及服務品質並落實員工差勤管理，特訂定本措施。</w:t>
      </w:r>
    </w:p>
    <w:p w:rsidR="008916DB" w:rsidRDefault="008916DB" w:rsidP="008916DB">
      <w:pPr>
        <w:pStyle w:val="a3"/>
        <w:ind w:leftChars="0" w:left="450"/>
        <w:jc w:val="both"/>
        <w:rPr>
          <w:rFonts w:ascii="標楷體" w:eastAsia="標楷體" w:hAnsi="標楷體"/>
        </w:rPr>
      </w:pPr>
    </w:p>
    <w:p w:rsidR="008916DB" w:rsidRDefault="008916DB" w:rsidP="008916DB">
      <w:pPr>
        <w:pStyle w:val="a3"/>
        <w:numPr>
          <w:ilvl w:val="0"/>
          <w:numId w:val="23"/>
        </w:numPr>
        <w:ind w:leftChars="0"/>
        <w:jc w:val="both"/>
        <w:rPr>
          <w:rFonts w:ascii="標楷體" w:eastAsia="標楷體" w:hAnsi="標楷體"/>
        </w:rPr>
      </w:pPr>
      <w:r w:rsidRPr="008916DB">
        <w:rPr>
          <w:rFonts w:ascii="標楷體" w:eastAsia="標楷體" w:hAnsi="標楷體" w:hint="eastAsia"/>
        </w:rPr>
        <w:t>依據：「行政院及所屬各機關公務人員平時考核要點」、「行政院暨所屬各機關人事機構抽查公務人員勤惰管理及辦公情形應行注意事項」及「嘉義縣政府暨所屬各級機關職員出勤管理要點」。</w:t>
      </w:r>
    </w:p>
    <w:p w:rsidR="008916DB" w:rsidRDefault="008916DB" w:rsidP="008916DB">
      <w:pPr>
        <w:pStyle w:val="a3"/>
        <w:ind w:leftChars="0" w:left="450"/>
        <w:jc w:val="both"/>
        <w:rPr>
          <w:rFonts w:ascii="標楷體" w:eastAsia="標楷體" w:hAnsi="標楷體"/>
        </w:rPr>
      </w:pPr>
    </w:p>
    <w:p w:rsidR="008916DB" w:rsidRPr="008916DB" w:rsidRDefault="008916DB" w:rsidP="008916DB">
      <w:pPr>
        <w:pStyle w:val="a3"/>
        <w:numPr>
          <w:ilvl w:val="0"/>
          <w:numId w:val="23"/>
        </w:numPr>
        <w:ind w:leftChars="0"/>
        <w:jc w:val="both"/>
        <w:rPr>
          <w:rFonts w:ascii="標楷體" w:eastAsia="標楷體" w:hAnsi="標楷體"/>
        </w:rPr>
      </w:pPr>
      <w:r w:rsidRPr="008916DB">
        <w:rPr>
          <w:rFonts w:ascii="標楷體" w:eastAsia="標楷體" w:hAnsi="標楷體" w:hint="eastAsia"/>
        </w:rPr>
        <w:t>查核重點：</w:t>
      </w:r>
    </w:p>
    <w:p w:rsidR="008916DB" w:rsidRDefault="008916DB" w:rsidP="008916DB">
      <w:pPr>
        <w:pStyle w:val="a3"/>
        <w:numPr>
          <w:ilvl w:val="0"/>
          <w:numId w:val="24"/>
        </w:numPr>
        <w:ind w:leftChars="0"/>
        <w:jc w:val="both"/>
        <w:rPr>
          <w:rFonts w:ascii="標楷體" w:eastAsia="標楷體" w:hAnsi="標楷體"/>
        </w:rPr>
      </w:pPr>
      <w:r w:rsidRPr="008916DB">
        <w:rPr>
          <w:rFonts w:ascii="標楷體" w:eastAsia="標楷體" w:hAnsi="標楷體" w:hint="eastAsia"/>
        </w:rPr>
        <w:t>辦公及出勤差假管理情形。</w:t>
      </w:r>
    </w:p>
    <w:p w:rsidR="008916DB" w:rsidRDefault="008916DB" w:rsidP="008916DB">
      <w:pPr>
        <w:pStyle w:val="a3"/>
        <w:numPr>
          <w:ilvl w:val="0"/>
          <w:numId w:val="24"/>
        </w:numPr>
        <w:ind w:leftChars="0"/>
        <w:jc w:val="both"/>
        <w:rPr>
          <w:rFonts w:ascii="標楷體" w:eastAsia="標楷體" w:hAnsi="標楷體"/>
        </w:rPr>
      </w:pPr>
      <w:r w:rsidRPr="008916DB">
        <w:rPr>
          <w:rFonts w:ascii="標楷體" w:eastAsia="標楷體" w:hAnsi="標楷體" w:hint="eastAsia"/>
        </w:rPr>
        <w:t>上、下班管理情形。</w:t>
      </w:r>
    </w:p>
    <w:p w:rsidR="008916DB" w:rsidRDefault="008916DB" w:rsidP="008916DB">
      <w:pPr>
        <w:pStyle w:val="a3"/>
        <w:numPr>
          <w:ilvl w:val="0"/>
          <w:numId w:val="24"/>
        </w:numPr>
        <w:ind w:leftChars="0"/>
        <w:jc w:val="both"/>
        <w:rPr>
          <w:rFonts w:ascii="標楷體" w:eastAsia="標楷體" w:hAnsi="標楷體"/>
        </w:rPr>
      </w:pPr>
      <w:r w:rsidRPr="008916DB">
        <w:rPr>
          <w:rFonts w:ascii="標楷體" w:eastAsia="標楷體" w:hAnsi="標楷體" w:hint="eastAsia"/>
        </w:rPr>
        <w:t>員工有無喝酒情事。</w:t>
      </w:r>
    </w:p>
    <w:p w:rsidR="008916DB" w:rsidRDefault="008916DB" w:rsidP="008916DB">
      <w:pPr>
        <w:pStyle w:val="a3"/>
        <w:numPr>
          <w:ilvl w:val="0"/>
          <w:numId w:val="24"/>
        </w:numPr>
        <w:ind w:leftChars="0"/>
        <w:jc w:val="both"/>
        <w:rPr>
          <w:rFonts w:ascii="標楷體" w:eastAsia="標楷體" w:hAnsi="標楷體"/>
        </w:rPr>
      </w:pPr>
      <w:r w:rsidRPr="008916DB">
        <w:rPr>
          <w:rFonts w:ascii="標楷體" w:eastAsia="標楷體" w:hAnsi="標楷體" w:hint="eastAsia"/>
        </w:rPr>
        <w:t>服務品質。</w:t>
      </w:r>
    </w:p>
    <w:p w:rsidR="008916DB" w:rsidRDefault="008916DB" w:rsidP="008916DB">
      <w:pPr>
        <w:pStyle w:val="a3"/>
        <w:numPr>
          <w:ilvl w:val="0"/>
          <w:numId w:val="24"/>
        </w:numPr>
        <w:ind w:leftChars="0"/>
        <w:jc w:val="both"/>
        <w:rPr>
          <w:rFonts w:ascii="標楷體" w:eastAsia="標楷體" w:hAnsi="標楷體"/>
        </w:rPr>
      </w:pPr>
      <w:r w:rsidRPr="008916DB">
        <w:rPr>
          <w:rFonts w:ascii="標楷體" w:eastAsia="標楷體" w:hAnsi="標楷體" w:hint="eastAsia"/>
        </w:rPr>
        <w:t>公務倫理。</w:t>
      </w:r>
    </w:p>
    <w:p w:rsidR="008916DB" w:rsidRDefault="008916DB" w:rsidP="008916DB">
      <w:pPr>
        <w:pStyle w:val="a3"/>
        <w:numPr>
          <w:ilvl w:val="0"/>
          <w:numId w:val="24"/>
        </w:numPr>
        <w:ind w:leftChars="0"/>
        <w:jc w:val="both"/>
        <w:rPr>
          <w:rFonts w:ascii="標楷體" w:eastAsia="標楷體" w:hAnsi="標楷體"/>
        </w:rPr>
      </w:pPr>
      <w:r w:rsidRPr="008916DB">
        <w:rPr>
          <w:rFonts w:ascii="標楷體" w:eastAsia="標楷體" w:hAnsi="標楷體" w:hint="eastAsia"/>
        </w:rPr>
        <w:t>查勤制度情形。</w:t>
      </w:r>
    </w:p>
    <w:p w:rsidR="008916DB" w:rsidRDefault="008916DB" w:rsidP="008916DB">
      <w:pPr>
        <w:pStyle w:val="a3"/>
        <w:numPr>
          <w:ilvl w:val="0"/>
          <w:numId w:val="24"/>
        </w:numPr>
        <w:ind w:leftChars="0"/>
        <w:jc w:val="both"/>
        <w:rPr>
          <w:rFonts w:ascii="標楷體" w:eastAsia="標楷體" w:hAnsi="標楷體"/>
        </w:rPr>
      </w:pPr>
      <w:r w:rsidRPr="008916DB">
        <w:rPr>
          <w:rFonts w:ascii="標楷體" w:eastAsia="標楷體" w:hAnsi="標楷體" w:hint="eastAsia"/>
        </w:rPr>
        <w:t>公出登記簿設置情形。</w:t>
      </w:r>
    </w:p>
    <w:p w:rsidR="008916DB" w:rsidRDefault="008916DB" w:rsidP="008916DB">
      <w:pPr>
        <w:jc w:val="both"/>
        <w:rPr>
          <w:rFonts w:ascii="標楷體" w:eastAsia="標楷體" w:hAnsi="標楷體"/>
        </w:rPr>
      </w:pPr>
    </w:p>
    <w:p w:rsidR="008916DB" w:rsidRDefault="008916DB" w:rsidP="008916DB">
      <w:pPr>
        <w:pStyle w:val="a3"/>
        <w:numPr>
          <w:ilvl w:val="0"/>
          <w:numId w:val="23"/>
        </w:numPr>
        <w:ind w:leftChars="0"/>
        <w:jc w:val="both"/>
        <w:rPr>
          <w:rFonts w:ascii="標楷體" w:eastAsia="標楷體" w:hAnsi="標楷體"/>
        </w:rPr>
      </w:pPr>
      <w:r w:rsidRPr="008916DB">
        <w:rPr>
          <w:rFonts w:ascii="標楷體" w:eastAsia="標楷體" w:hAnsi="標楷體" w:hint="eastAsia"/>
        </w:rPr>
        <w:t>查核方式：</w:t>
      </w:r>
    </w:p>
    <w:p w:rsidR="008916DB" w:rsidRDefault="008916DB" w:rsidP="008916DB">
      <w:pPr>
        <w:pStyle w:val="a3"/>
        <w:numPr>
          <w:ilvl w:val="0"/>
          <w:numId w:val="25"/>
        </w:numPr>
        <w:ind w:leftChars="0"/>
        <w:jc w:val="both"/>
        <w:rPr>
          <w:rFonts w:ascii="標楷體" w:eastAsia="標楷體" w:hAnsi="標楷體"/>
        </w:rPr>
      </w:pPr>
      <w:r w:rsidRPr="008916DB">
        <w:rPr>
          <w:rFonts w:ascii="標楷體" w:eastAsia="標楷體" w:hAnsi="標楷體" w:hint="eastAsia"/>
        </w:rPr>
        <w:t>查核地點：辦公場所及出差地。</w:t>
      </w:r>
    </w:p>
    <w:p w:rsidR="008916DB" w:rsidRDefault="008916DB" w:rsidP="008916DB">
      <w:pPr>
        <w:pStyle w:val="a3"/>
        <w:numPr>
          <w:ilvl w:val="0"/>
          <w:numId w:val="25"/>
        </w:numPr>
        <w:ind w:leftChars="0"/>
        <w:jc w:val="both"/>
        <w:rPr>
          <w:rFonts w:ascii="標楷體" w:eastAsia="標楷體" w:hAnsi="標楷體"/>
        </w:rPr>
      </w:pPr>
      <w:r w:rsidRPr="008916DB">
        <w:rPr>
          <w:rFonts w:ascii="標楷體" w:eastAsia="標楷體" w:hAnsi="標楷體" w:hint="eastAsia"/>
        </w:rPr>
        <w:t>查核時間：每月至少不定期抽查</w:t>
      </w:r>
      <w:r>
        <w:rPr>
          <w:rFonts w:ascii="標楷體" w:eastAsia="標楷體" w:hAnsi="標楷體" w:hint="eastAsia"/>
        </w:rPr>
        <w:t>二</w:t>
      </w:r>
      <w:r w:rsidRPr="008916DB">
        <w:rPr>
          <w:rFonts w:ascii="標楷體" w:eastAsia="標楷體" w:hAnsi="標楷體" w:hint="eastAsia"/>
        </w:rPr>
        <w:t>次。</w:t>
      </w:r>
    </w:p>
    <w:p w:rsidR="008916DB" w:rsidRDefault="008916DB" w:rsidP="008916DB">
      <w:pPr>
        <w:pStyle w:val="a3"/>
        <w:numPr>
          <w:ilvl w:val="0"/>
          <w:numId w:val="25"/>
        </w:numPr>
        <w:ind w:leftChars="0"/>
        <w:jc w:val="both"/>
        <w:rPr>
          <w:rFonts w:ascii="標楷體" w:eastAsia="標楷體" w:hAnsi="標楷體"/>
        </w:rPr>
      </w:pPr>
      <w:r w:rsidRPr="008916DB">
        <w:rPr>
          <w:rFonts w:ascii="標楷體" w:eastAsia="標楷體" w:hAnsi="標楷體" w:hint="eastAsia"/>
        </w:rPr>
        <w:t>查核人員：</w:t>
      </w:r>
    </w:p>
    <w:p w:rsidR="008916DB" w:rsidRDefault="008916DB" w:rsidP="008916DB">
      <w:pPr>
        <w:pStyle w:val="a3"/>
        <w:numPr>
          <w:ilvl w:val="0"/>
          <w:numId w:val="26"/>
        </w:numPr>
        <w:ind w:leftChars="0"/>
        <w:jc w:val="both"/>
        <w:rPr>
          <w:rFonts w:ascii="標楷體" w:eastAsia="標楷體" w:hAnsi="標楷體"/>
        </w:rPr>
      </w:pPr>
      <w:r w:rsidRPr="008916DB">
        <w:rPr>
          <w:rFonts w:ascii="標楷體" w:eastAsia="標楷體" w:hAnsi="標楷體" w:hint="eastAsia"/>
        </w:rPr>
        <w:t>本府各單位由本府人事處派員查核。</w:t>
      </w:r>
    </w:p>
    <w:p w:rsidR="0013797C" w:rsidRDefault="008916DB" w:rsidP="0013797C">
      <w:pPr>
        <w:pStyle w:val="a3"/>
        <w:numPr>
          <w:ilvl w:val="0"/>
          <w:numId w:val="26"/>
        </w:numPr>
        <w:ind w:leftChars="0"/>
        <w:jc w:val="both"/>
        <w:rPr>
          <w:rFonts w:ascii="標楷體" w:eastAsia="標楷體" w:hAnsi="標楷體"/>
        </w:rPr>
      </w:pPr>
      <w:r w:rsidRPr="008916DB">
        <w:rPr>
          <w:rFonts w:ascii="標楷體" w:eastAsia="標楷體" w:hAnsi="標楷體" w:hint="eastAsia"/>
        </w:rPr>
        <w:t>所屬各機關（學校）除戶政事務所委由各鄉（鎮、市）公所人事單位派員查核外，餘由本府人事處派員或指定（派）機關（人員查核。</w:t>
      </w:r>
    </w:p>
    <w:p w:rsidR="0013797C" w:rsidRDefault="008916DB" w:rsidP="0013797C">
      <w:pPr>
        <w:pStyle w:val="a3"/>
        <w:numPr>
          <w:ilvl w:val="0"/>
          <w:numId w:val="25"/>
        </w:numPr>
        <w:ind w:leftChars="0"/>
        <w:jc w:val="both"/>
        <w:rPr>
          <w:rFonts w:ascii="標楷體" w:eastAsia="標楷體" w:hAnsi="標楷體"/>
        </w:rPr>
      </w:pPr>
      <w:r w:rsidRPr="0013797C">
        <w:rPr>
          <w:rFonts w:ascii="標楷體" w:eastAsia="標楷體" w:hAnsi="標楷體" w:hint="eastAsia"/>
        </w:rPr>
        <w:t>查核項目：</w:t>
      </w:r>
    </w:p>
    <w:p w:rsidR="0013797C" w:rsidRDefault="008916DB" w:rsidP="0013797C">
      <w:pPr>
        <w:pStyle w:val="a3"/>
        <w:numPr>
          <w:ilvl w:val="0"/>
          <w:numId w:val="27"/>
        </w:numPr>
        <w:ind w:leftChars="0"/>
        <w:jc w:val="both"/>
        <w:rPr>
          <w:rFonts w:ascii="標楷體" w:eastAsia="標楷體" w:hAnsi="標楷體"/>
        </w:rPr>
      </w:pPr>
      <w:r w:rsidRPr="0013797C">
        <w:rPr>
          <w:rFonts w:ascii="標楷體" w:eastAsia="標楷體" w:hAnsi="標楷體" w:hint="eastAsia"/>
        </w:rPr>
        <w:t>辦公及出勤差假管理情形查核：</w:t>
      </w:r>
    </w:p>
    <w:p w:rsidR="0013797C" w:rsidRDefault="008916DB" w:rsidP="0013797C">
      <w:pPr>
        <w:pStyle w:val="a3"/>
        <w:numPr>
          <w:ilvl w:val="0"/>
          <w:numId w:val="28"/>
        </w:numPr>
        <w:ind w:leftChars="0"/>
        <w:jc w:val="both"/>
        <w:rPr>
          <w:rFonts w:ascii="標楷體" w:eastAsia="標楷體" w:hAnsi="標楷體"/>
        </w:rPr>
      </w:pPr>
      <w:r w:rsidRPr="0013797C">
        <w:rPr>
          <w:rFonts w:ascii="標楷體" w:eastAsia="標楷體" w:hAnsi="標楷體" w:hint="eastAsia"/>
        </w:rPr>
        <w:t>查核人員到達受查核之辦公處所時，應先向受查核機關人事管理人員取得當日該機關員工差假等資料，繼查看員工是否均在工作崗位工作，辦公秩序是否良好等。如有違規情事，應即時登記，並依規定處理。</w:t>
      </w:r>
    </w:p>
    <w:p w:rsidR="0013797C" w:rsidRDefault="008916DB" w:rsidP="0013797C">
      <w:pPr>
        <w:pStyle w:val="a3"/>
        <w:numPr>
          <w:ilvl w:val="0"/>
          <w:numId w:val="28"/>
        </w:numPr>
        <w:ind w:leftChars="0"/>
        <w:jc w:val="both"/>
        <w:rPr>
          <w:rFonts w:ascii="標楷體" w:eastAsia="標楷體" w:hAnsi="標楷體"/>
        </w:rPr>
      </w:pPr>
      <w:r w:rsidRPr="0013797C">
        <w:rPr>
          <w:rFonts w:ascii="標楷體" w:eastAsia="標楷體" w:hAnsi="標楷體" w:hint="eastAsia"/>
        </w:rPr>
        <w:t>查核人員到達受查核辦公處所時，會同該機關人事單位人員，向主管敘明查核情事，負責主管應配合查核人員工作，說明屬員當日差假情形。</w:t>
      </w:r>
    </w:p>
    <w:p w:rsidR="008916DB" w:rsidRPr="0013797C" w:rsidRDefault="008916DB" w:rsidP="0013797C">
      <w:pPr>
        <w:pStyle w:val="a3"/>
        <w:numPr>
          <w:ilvl w:val="0"/>
          <w:numId w:val="28"/>
        </w:numPr>
        <w:ind w:leftChars="0"/>
        <w:jc w:val="both"/>
        <w:rPr>
          <w:rFonts w:ascii="標楷體" w:eastAsia="標楷體" w:hAnsi="標楷體"/>
        </w:rPr>
      </w:pPr>
      <w:r w:rsidRPr="0013797C">
        <w:rPr>
          <w:rFonts w:ascii="標楷體" w:eastAsia="標楷體" w:hAnsi="標楷體" w:hint="eastAsia"/>
        </w:rPr>
        <w:lastRenderedPageBreak/>
        <w:t>受查核機關應派員攜帶有關差假等資料，會同查核人員前往各單位實地查看。如有人員出差者，得視需要，會同主管及人事單位人員至出差地點實地查核。</w:t>
      </w:r>
    </w:p>
    <w:p w:rsidR="0013797C" w:rsidRDefault="008916DB" w:rsidP="0013797C">
      <w:pPr>
        <w:pStyle w:val="a3"/>
        <w:numPr>
          <w:ilvl w:val="0"/>
          <w:numId w:val="27"/>
        </w:numPr>
        <w:ind w:leftChars="0"/>
        <w:jc w:val="both"/>
        <w:rPr>
          <w:rFonts w:ascii="標楷體" w:eastAsia="標楷體" w:hAnsi="標楷體"/>
        </w:rPr>
      </w:pPr>
      <w:r w:rsidRPr="008916DB">
        <w:rPr>
          <w:rFonts w:ascii="標楷體" w:eastAsia="標楷體" w:hAnsi="標楷體" w:hint="eastAsia"/>
        </w:rPr>
        <w:t>上、下班管理情形查核：</w:t>
      </w:r>
    </w:p>
    <w:p w:rsidR="0013797C" w:rsidRDefault="008916DB" w:rsidP="0013797C">
      <w:pPr>
        <w:pStyle w:val="a3"/>
        <w:numPr>
          <w:ilvl w:val="0"/>
          <w:numId w:val="29"/>
        </w:numPr>
        <w:ind w:leftChars="0"/>
        <w:jc w:val="both"/>
        <w:rPr>
          <w:rFonts w:ascii="標楷體" w:eastAsia="標楷體" w:hAnsi="標楷體"/>
        </w:rPr>
      </w:pPr>
      <w:r w:rsidRPr="0013797C">
        <w:rPr>
          <w:rFonts w:ascii="標楷體" w:eastAsia="標楷體" w:hAnsi="標楷體" w:hint="eastAsia"/>
        </w:rPr>
        <w:t>查核人員應於上、下班前</w:t>
      </w:r>
      <w:r w:rsidR="0013797C">
        <w:rPr>
          <w:rFonts w:ascii="標楷體" w:eastAsia="標楷體" w:hAnsi="標楷體" w:hint="eastAsia"/>
        </w:rPr>
        <w:t>十五</w:t>
      </w:r>
      <w:r w:rsidRPr="0013797C">
        <w:rPr>
          <w:rFonts w:ascii="標楷體" w:eastAsia="標楷體" w:hAnsi="標楷體" w:hint="eastAsia"/>
        </w:rPr>
        <w:t>分鐘到達受抽查機關，先行查閱當日簽到（退）簿，查核有無預簽、代簽或不合規定之情事。</w:t>
      </w:r>
    </w:p>
    <w:p w:rsidR="008916DB" w:rsidRPr="0013797C" w:rsidRDefault="008916DB" w:rsidP="0013797C">
      <w:pPr>
        <w:pStyle w:val="a3"/>
        <w:numPr>
          <w:ilvl w:val="0"/>
          <w:numId w:val="29"/>
        </w:numPr>
        <w:ind w:leftChars="0"/>
        <w:jc w:val="both"/>
        <w:rPr>
          <w:rFonts w:ascii="標楷體" w:eastAsia="標楷體" w:hAnsi="標楷體"/>
        </w:rPr>
      </w:pPr>
      <w:r w:rsidRPr="0013797C">
        <w:rPr>
          <w:rFonts w:ascii="標楷體" w:eastAsia="標楷體" w:hAnsi="標楷體" w:hint="eastAsia"/>
        </w:rPr>
        <w:t>查核人員應查看打（刷）卡或簽到（退）情形，於收取簽到（退）簿或關閉打（刷）卡鐘以後到公者，分別按規定依「遲到」「曠職」登記；未簽退者，除經登記加班之人員外，應查明依規定處理。</w:t>
      </w:r>
    </w:p>
    <w:p w:rsidR="008916DB" w:rsidRPr="0013797C" w:rsidRDefault="008916DB" w:rsidP="0013797C">
      <w:pPr>
        <w:pStyle w:val="a3"/>
        <w:numPr>
          <w:ilvl w:val="0"/>
          <w:numId w:val="27"/>
        </w:numPr>
        <w:ind w:leftChars="0"/>
        <w:jc w:val="both"/>
        <w:rPr>
          <w:rFonts w:ascii="標楷體" w:eastAsia="標楷體" w:hAnsi="標楷體"/>
        </w:rPr>
      </w:pPr>
      <w:r w:rsidRPr="0013797C">
        <w:rPr>
          <w:rFonts w:ascii="標楷體" w:eastAsia="標楷體" w:hAnsi="標楷體" w:hint="eastAsia"/>
        </w:rPr>
        <w:t>員工有無喝酒情事查核：查核人員應查看受查核機關員工有無上班或午休時間喝酒之情事，如有違規情事應核實登記，並告知單位主管或機關首長依規定處理。</w:t>
      </w:r>
    </w:p>
    <w:p w:rsidR="008916DB" w:rsidRPr="0013797C" w:rsidRDefault="008916DB" w:rsidP="0013797C">
      <w:pPr>
        <w:pStyle w:val="a3"/>
        <w:numPr>
          <w:ilvl w:val="0"/>
          <w:numId w:val="27"/>
        </w:numPr>
        <w:ind w:leftChars="0"/>
        <w:jc w:val="both"/>
        <w:rPr>
          <w:rFonts w:ascii="標楷體" w:eastAsia="標楷體" w:hAnsi="標楷體"/>
        </w:rPr>
      </w:pPr>
      <w:r w:rsidRPr="008916DB">
        <w:rPr>
          <w:rFonts w:ascii="標楷體" w:eastAsia="標楷體" w:hAnsi="標楷體" w:hint="eastAsia"/>
        </w:rPr>
        <w:t>出差人員服務品質及公務倫理查核：查核人員得視實際需要，至</w:t>
      </w:r>
      <w:r w:rsidRPr="0013797C">
        <w:rPr>
          <w:rFonts w:ascii="標楷體" w:eastAsia="標楷體" w:hAnsi="標楷體" w:hint="eastAsia"/>
        </w:rPr>
        <w:t>受查核者出差地點或機關（含服務對象），查核出差人員之服務品質及公務倫理，核實填列本府及所屬各機關公差人員公務品質調查表（附件三）。</w:t>
      </w:r>
    </w:p>
    <w:p w:rsidR="008916DB" w:rsidRPr="0013797C" w:rsidRDefault="008916DB" w:rsidP="0013797C">
      <w:pPr>
        <w:pStyle w:val="a3"/>
        <w:numPr>
          <w:ilvl w:val="0"/>
          <w:numId w:val="27"/>
        </w:numPr>
        <w:ind w:leftChars="0"/>
        <w:jc w:val="both"/>
        <w:rPr>
          <w:rFonts w:ascii="標楷體" w:eastAsia="標楷體" w:hAnsi="標楷體"/>
        </w:rPr>
      </w:pPr>
      <w:r w:rsidRPr="008916DB">
        <w:rPr>
          <w:rFonts w:ascii="標楷體" w:eastAsia="標楷體" w:hAnsi="標楷體" w:hint="eastAsia"/>
        </w:rPr>
        <w:t>查勤制度情形查核：抽查人員應查核受抽查機關平時是否依規定</w:t>
      </w:r>
      <w:r w:rsidRPr="0013797C">
        <w:rPr>
          <w:rFonts w:ascii="標楷體" w:eastAsia="標楷體" w:hAnsi="標楷體" w:hint="eastAsia"/>
        </w:rPr>
        <w:t>抽查屬員出勤及辦公情形。</w:t>
      </w:r>
    </w:p>
    <w:p w:rsidR="008916DB" w:rsidRPr="0013797C" w:rsidRDefault="008916DB" w:rsidP="0013797C">
      <w:pPr>
        <w:pStyle w:val="a3"/>
        <w:numPr>
          <w:ilvl w:val="0"/>
          <w:numId w:val="27"/>
        </w:numPr>
        <w:ind w:leftChars="0"/>
        <w:jc w:val="both"/>
        <w:rPr>
          <w:rFonts w:ascii="標楷體" w:eastAsia="標楷體" w:hAnsi="標楷體"/>
        </w:rPr>
      </w:pPr>
      <w:r w:rsidRPr="0013797C">
        <w:rPr>
          <w:rFonts w:ascii="標楷體" w:eastAsia="標楷體" w:hAnsi="標楷體" w:hint="eastAsia"/>
        </w:rPr>
        <w:t>公出登記簿設置情形查核：抽查人員應查核受抽查機關是否設置公出登記簿情形。</w:t>
      </w:r>
    </w:p>
    <w:p w:rsidR="0013797C" w:rsidRDefault="008916DB" w:rsidP="0013797C">
      <w:pPr>
        <w:pStyle w:val="a3"/>
        <w:numPr>
          <w:ilvl w:val="0"/>
          <w:numId w:val="25"/>
        </w:numPr>
        <w:ind w:leftChars="0"/>
        <w:jc w:val="both"/>
        <w:rPr>
          <w:rFonts w:ascii="標楷體" w:eastAsia="標楷體" w:hAnsi="標楷體"/>
        </w:rPr>
      </w:pPr>
      <w:r w:rsidRPr="0013797C">
        <w:rPr>
          <w:rFonts w:ascii="標楷體" w:eastAsia="標楷體" w:hAnsi="標楷體" w:hint="eastAsia"/>
        </w:rPr>
        <w:t>查核評定標準：</w:t>
      </w:r>
    </w:p>
    <w:p w:rsidR="00136DEC" w:rsidRDefault="008916DB" w:rsidP="00136DEC">
      <w:pPr>
        <w:pStyle w:val="a3"/>
        <w:numPr>
          <w:ilvl w:val="0"/>
          <w:numId w:val="31"/>
        </w:numPr>
        <w:ind w:leftChars="0"/>
        <w:jc w:val="both"/>
        <w:rPr>
          <w:rFonts w:ascii="標楷體" w:eastAsia="標楷體" w:hAnsi="標楷體"/>
        </w:rPr>
      </w:pPr>
      <w:r w:rsidRPr="0013797C">
        <w:rPr>
          <w:rFonts w:ascii="標楷體" w:eastAsia="標楷體" w:hAnsi="標楷體" w:hint="eastAsia"/>
        </w:rPr>
        <w:t>符合下列要求者，為「良好」：</w:t>
      </w:r>
    </w:p>
    <w:p w:rsidR="0013797C" w:rsidRPr="00136DEC" w:rsidRDefault="008916DB" w:rsidP="00136DEC">
      <w:pPr>
        <w:pStyle w:val="a3"/>
        <w:numPr>
          <w:ilvl w:val="0"/>
          <w:numId w:val="32"/>
        </w:numPr>
        <w:ind w:leftChars="0"/>
        <w:jc w:val="both"/>
        <w:rPr>
          <w:rFonts w:ascii="標楷體" w:eastAsia="標楷體" w:hAnsi="標楷體"/>
        </w:rPr>
      </w:pPr>
      <w:r w:rsidRPr="00136DEC">
        <w:rPr>
          <w:rFonts w:ascii="標楷體" w:eastAsia="標楷體" w:hAnsi="標楷體" w:hint="eastAsia"/>
        </w:rPr>
        <w:t>有關差假及查勤事項，均依規定辦理，並有完整之紀錄者。</w:t>
      </w:r>
    </w:p>
    <w:p w:rsidR="0013797C" w:rsidRDefault="008916DB" w:rsidP="0013797C">
      <w:pPr>
        <w:pStyle w:val="a3"/>
        <w:numPr>
          <w:ilvl w:val="0"/>
          <w:numId w:val="32"/>
        </w:numPr>
        <w:ind w:leftChars="0"/>
        <w:jc w:val="both"/>
        <w:rPr>
          <w:rFonts w:ascii="標楷體" w:eastAsia="標楷體" w:hAnsi="標楷體"/>
        </w:rPr>
      </w:pPr>
      <w:r w:rsidRPr="0013797C">
        <w:rPr>
          <w:rFonts w:ascii="標楷體" w:eastAsia="標楷體" w:hAnsi="標楷體" w:hint="eastAsia"/>
        </w:rPr>
        <w:t>設有簽到（退）簿或打（刷）卡鐘，派有專人管理並依規定按時送收開關者。</w:t>
      </w:r>
    </w:p>
    <w:p w:rsidR="0013797C" w:rsidRDefault="008916DB" w:rsidP="0013797C">
      <w:pPr>
        <w:pStyle w:val="a3"/>
        <w:numPr>
          <w:ilvl w:val="0"/>
          <w:numId w:val="32"/>
        </w:numPr>
        <w:ind w:leftChars="0"/>
        <w:jc w:val="both"/>
        <w:rPr>
          <w:rFonts w:ascii="標楷體" w:eastAsia="標楷體" w:hAnsi="標楷體"/>
        </w:rPr>
      </w:pPr>
      <w:r w:rsidRPr="0013797C">
        <w:rPr>
          <w:rFonts w:ascii="標楷體" w:eastAsia="標楷體" w:hAnsi="標楷體" w:hint="eastAsia"/>
        </w:rPr>
        <w:t>對曠職、遲到及早退人員，均依規定登錄並處理者。</w:t>
      </w:r>
    </w:p>
    <w:p w:rsidR="0013797C" w:rsidRDefault="008916DB" w:rsidP="0013797C">
      <w:pPr>
        <w:pStyle w:val="a3"/>
        <w:numPr>
          <w:ilvl w:val="0"/>
          <w:numId w:val="32"/>
        </w:numPr>
        <w:ind w:leftChars="0"/>
        <w:jc w:val="both"/>
        <w:rPr>
          <w:rFonts w:ascii="標楷體" w:eastAsia="標楷體" w:hAnsi="標楷體"/>
        </w:rPr>
      </w:pPr>
      <w:r w:rsidRPr="0013797C">
        <w:rPr>
          <w:rFonts w:ascii="標楷體" w:eastAsia="標楷體" w:hAnsi="標楷體" w:hint="eastAsia"/>
        </w:rPr>
        <w:t>抽查時，無曠職、遲到及早退人員者。</w:t>
      </w:r>
    </w:p>
    <w:p w:rsidR="008916DB" w:rsidRPr="0013797C" w:rsidRDefault="008916DB" w:rsidP="0013797C">
      <w:pPr>
        <w:pStyle w:val="a3"/>
        <w:numPr>
          <w:ilvl w:val="0"/>
          <w:numId w:val="32"/>
        </w:numPr>
        <w:ind w:leftChars="0"/>
        <w:jc w:val="both"/>
        <w:rPr>
          <w:rFonts w:ascii="標楷體" w:eastAsia="標楷體" w:hAnsi="標楷體"/>
        </w:rPr>
      </w:pPr>
      <w:r w:rsidRPr="0013797C">
        <w:rPr>
          <w:rFonts w:ascii="標楷體" w:eastAsia="標楷體" w:hAnsi="標楷體" w:hint="eastAsia"/>
        </w:rPr>
        <w:t>辦公紀律良好，到勤人員努力從公，無擅離工作崗位，或從事與業務無關之工作者。</w:t>
      </w:r>
    </w:p>
    <w:p w:rsidR="00136DEC" w:rsidRDefault="008916DB" w:rsidP="00136DEC">
      <w:pPr>
        <w:pStyle w:val="a3"/>
        <w:numPr>
          <w:ilvl w:val="0"/>
          <w:numId w:val="31"/>
        </w:numPr>
        <w:ind w:leftChars="0"/>
        <w:jc w:val="both"/>
        <w:rPr>
          <w:rFonts w:ascii="標楷體" w:eastAsia="標楷體" w:hAnsi="標楷體"/>
        </w:rPr>
      </w:pPr>
      <w:r w:rsidRPr="0013797C">
        <w:rPr>
          <w:rFonts w:ascii="標楷體" w:eastAsia="標楷體" w:hAnsi="標楷體" w:hint="eastAsia"/>
        </w:rPr>
        <w:t>符合下列要求者，為「正常」：</w:t>
      </w:r>
    </w:p>
    <w:p w:rsidR="00136DEC" w:rsidRDefault="008916DB" w:rsidP="00136DEC">
      <w:pPr>
        <w:pStyle w:val="a3"/>
        <w:numPr>
          <w:ilvl w:val="0"/>
          <w:numId w:val="34"/>
        </w:numPr>
        <w:ind w:leftChars="0"/>
        <w:jc w:val="both"/>
        <w:rPr>
          <w:rFonts w:ascii="標楷體" w:eastAsia="標楷體" w:hAnsi="標楷體"/>
        </w:rPr>
      </w:pPr>
      <w:r w:rsidRPr="00136DEC">
        <w:rPr>
          <w:rFonts w:ascii="標楷體" w:eastAsia="標楷體" w:hAnsi="標楷體" w:hint="eastAsia"/>
        </w:rPr>
        <w:t>有關差假及查勤事項，均依規定辦理，並有完整之紀錄者。</w:t>
      </w:r>
    </w:p>
    <w:p w:rsidR="00136DEC" w:rsidRDefault="008916DB" w:rsidP="00136DEC">
      <w:pPr>
        <w:pStyle w:val="a3"/>
        <w:numPr>
          <w:ilvl w:val="0"/>
          <w:numId w:val="34"/>
        </w:numPr>
        <w:ind w:leftChars="0"/>
        <w:jc w:val="both"/>
        <w:rPr>
          <w:rFonts w:ascii="標楷體" w:eastAsia="標楷體" w:hAnsi="標楷體"/>
        </w:rPr>
      </w:pPr>
      <w:r w:rsidRPr="00136DEC">
        <w:rPr>
          <w:rFonts w:ascii="標楷體" w:eastAsia="標楷體" w:hAnsi="標楷體" w:hint="eastAsia"/>
        </w:rPr>
        <w:t>設有簽到（退）簿或打（刷）卡鐘，派有專人管理並依規定按時送收開關者。</w:t>
      </w:r>
    </w:p>
    <w:p w:rsidR="00136DEC" w:rsidRDefault="008916DB" w:rsidP="00136DEC">
      <w:pPr>
        <w:pStyle w:val="a3"/>
        <w:numPr>
          <w:ilvl w:val="0"/>
          <w:numId w:val="34"/>
        </w:numPr>
        <w:ind w:leftChars="0"/>
        <w:jc w:val="both"/>
        <w:rPr>
          <w:rFonts w:ascii="標楷體" w:eastAsia="標楷體" w:hAnsi="標楷體"/>
        </w:rPr>
      </w:pPr>
      <w:r w:rsidRPr="00136DEC">
        <w:rPr>
          <w:rFonts w:ascii="標楷體" w:eastAsia="標楷體" w:hAnsi="標楷體" w:hint="eastAsia"/>
        </w:rPr>
        <w:t>對曠職、遲到及早退人員，均依規定登錄並處理者。</w:t>
      </w:r>
    </w:p>
    <w:p w:rsidR="00136DEC" w:rsidRDefault="008916DB" w:rsidP="00136DEC">
      <w:pPr>
        <w:pStyle w:val="a3"/>
        <w:numPr>
          <w:ilvl w:val="0"/>
          <w:numId w:val="34"/>
        </w:numPr>
        <w:ind w:leftChars="0"/>
        <w:jc w:val="both"/>
        <w:rPr>
          <w:rFonts w:ascii="標楷體" w:eastAsia="標楷體" w:hAnsi="標楷體"/>
        </w:rPr>
      </w:pPr>
      <w:r w:rsidRPr="00136DEC">
        <w:rPr>
          <w:rFonts w:ascii="標楷體" w:eastAsia="標楷體" w:hAnsi="標楷體" w:hint="eastAsia"/>
        </w:rPr>
        <w:t>曠職人員比率未超過機關到公人員百分之一者。</w:t>
      </w:r>
    </w:p>
    <w:p w:rsidR="00136DEC" w:rsidRDefault="008916DB" w:rsidP="00136DEC">
      <w:pPr>
        <w:pStyle w:val="a3"/>
        <w:numPr>
          <w:ilvl w:val="0"/>
          <w:numId w:val="34"/>
        </w:numPr>
        <w:ind w:leftChars="0"/>
        <w:jc w:val="both"/>
        <w:rPr>
          <w:rFonts w:ascii="標楷體" w:eastAsia="標楷體" w:hAnsi="標楷體"/>
        </w:rPr>
      </w:pPr>
      <w:r w:rsidRPr="00136DEC">
        <w:rPr>
          <w:rFonts w:ascii="標楷體" w:eastAsia="標楷體" w:hAnsi="標楷體" w:hint="eastAsia"/>
        </w:rPr>
        <w:t>遲到及早退人員比率未超過機關到公人員百分之三者。</w:t>
      </w:r>
    </w:p>
    <w:p w:rsidR="008916DB" w:rsidRPr="000A7EEC" w:rsidRDefault="008916DB" w:rsidP="000A7EEC">
      <w:pPr>
        <w:pStyle w:val="a3"/>
        <w:numPr>
          <w:ilvl w:val="0"/>
          <w:numId w:val="34"/>
        </w:numPr>
        <w:ind w:leftChars="0"/>
        <w:jc w:val="both"/>
        <w:rPr>
          <w:rFonts w:ascii="標楷體" w:eastAsia="標楷體" w:hAnsi="標楷體"/>
        </w:rPr>
      </w:pPr>
      <w:r w:rsidRPr="00136DEC">
        <w:rPr>
          <w:rFonts w:ascii="標楷體" w:eastAsia="標楷體" w:hAnsi="標楷體" w:hint="eastAsia"/>
        </w:rPr>
        <w:t>辦公紀律正常，到勤人員能嚴守工作崗位，處理業務，無擅離</w:t>
      </w:r>
      <w:r w:rsidRPr="000A7EEC">
        <w:rPr>
          <w:rFonts w:ascii="標楷體" w:eastAsia="標楷體" w:hAnsi="標楷體" w:hint="eastAsia"/>
        </w:rPr>
        <w:lastRenderedPageBreak/>
        <w:t>職守並無從事與業務無關之工作者。</w:t>
      </w:r>
    </w:p>
    <w:p w:rsidR="008916DB" w:rsidRPr="000A7EEC" w:rsidRDefault="008916DB" w:rsidP="000A7EEC">
      <w:pPr>
        <w:pStyle w:val="a3"/>
        <w:numPr>
          <w:ilvl w:val="0"/>
          <w:numId w:val="31"/>
        </w:numPr>
        <w:ind w:leftChars="0"/>
        <w:jc w:val="both"/>
        <w:rPr>
          <w:rFonts w:ascii="標楷體" w:eastAsia="標楷體" w:hAnsi="標楷體"/>
        </w:rPr>
      </w:pPr>
      <w:r w:rsidRPr="000A7EEC">
        <w:rPr>
          <w:rFonts w:ascii="標楷體" w:eastAsia="標楷體" w:hAnsi="標楷體" w:hint="eastAsia"/>
        </w:rPr>
        <w:t>符合下列要求者，為「有待改進」：</w:t>
      </w:r>
    </w:p>
    <w:p w:rsidR="000A7EEC" w:rsidRDefault="008916DB" w:rsidP="000A7EEC">
      <w:pPr>
        <w:pStyle w:val="a3"/>
        <w:numPr>
          <w:ilvl w:val="0"/>
          <w:numId w:val="35"/>
        </w:numPr>
        <w:ind w:leftChars="0"/>
        <w:jc w:val="both"/>
        <w:rPr>
          <w:rFonts w:ascii="標楷體" w:eastAsia="標楷體" w:hAnsi="標楷體"/>
        </w:rPr>
      </w:pPr>
      <w:r w:rsidRPr="008916DB">
        <w:rPr>
          <w:rFonts w:ascii="標楷體" w:eastAsia="標楷體" w:hAnsi="標楷體" w:hint="eastAsia"/>
        </w:rPr>
        <w:t>有關差假及查勤事項，未依規定辦理，且紀錄不完整或無紀錄</w:t>
      </w:r>
      <w:r w:rsidRPr="000A7EEC">
        <w:rPr>
          <w:rFonts w:ascii="標楷體" w:eastAsia="標楷體" w:hAnsi="標楷體" w:hint="eastAsia"/>
        </w:rPr>
        <w:t>。</w:t>
      </w:r>
    </w:p>
    <w:p w:rsidR="000A7EEC" w:rsidRDefault="008916DB" w:rsidP="000A7EEC">
      <w:pPr>
        <w:pStyle w:val="a3"/>
        <w:numPr>
          <w:ilvl w:val="0"/>
          <w:numId w:val="35"/>
        </w:numPr>
        <w:ind w:leftChars="0"/>
        <w:jc w:val="both"/>
        <w:rPr>
          <w:rFonts w:ascii="標楷體" w:eastAsia="標楷體" w:hAnsi="標楷體"/>
        </w:rPr>
      </w:pPr>
      <w:r w:rsidRPr="000A7EEC">
        <w:rPr>
          <w:rFonts w:ascii="標楷體" w:eastAsia="標楷體" w:hAnsi="標楷體" w:hint="eastAsia"/>
        </w:rPr>
        <w:t>未設有簽到（退）簿或打（刷）卡鐘或雖有簽到（退）簿或打（刷）卡鐘，但未依規定管理者。</w:t>
      </w:r>
    </w:p>
    <w:p w:rsidR="000A7EEC" w:rsidRDefault="008916DB" w:rsidP="000A7EEC">
      <w:pPr>
        <w:pStyle w:val="a3"/>
        <w:numPr>
          <w:ilvl w:val="0"/>
          <w:numId w:val="35"/>
        </w:numPr>
        <w:ind w:leftChars="0"/>
        <w:jc w:val="both"/>
        <w:rPr>
          <w:rFonts w:ascii="標楷體" w:eastAsia="標楷體" w:hAnsi="標楷體"/>
        </w:rPr>
      </w:pPr>
      <w:r w:rsidRPr="000A7EEC">
        <w:rPr>
          <w:rFonts w:ascii="標楷體" w:eastAsia="標楷體" w:hAnsi="標楷體" w:hint="eastAsia"/>
        </w:rPr>
        <w:t>對曠職、遲到及早退人員，未依規定登錄並處理者。</w:t>
      </w:r>
    </w:p>
    <w:p w:rsidR="000A7EEC" w:rsidRDefault="008916DB" w:rsidP="000A7EEC">
      <w:pPr>
        <w:pStyle w:val="a3"/>
        <w:numPr>
          <w:ilvl w:val="0"/>
          <w:numId w:val="35"/>
        </w:numPr>
        <w:ind w:leftChars="0"/>
        <w:jc w:val="both"/>
        <w:rPr>
          <w:rFonts w:ascii="標楷體" w:eastAsia="標楷體" w:hAnsi="標楷體"/>
        </w:rPr>
      </w:pPr>
      <w:r w:rsidRPr="000A7EEC">
        <w:rPr>
          <w:rFonts w:ascii="標楷體" w:eastAsia="標楷體" w:hAnsi="標楷體" w:hint="eastAsia"/>
        </w:rPr>
        <w:t>曠職人員比率超過機關到公人員百分之一者。</w:t>
      </w:r>
    </w:p>
    <w:p w:rsidR="000A7EEC" w:rsidRDefault="008916DB" w:rsidP="000A7EEC">
      <w:pPr>
        <w:pStyle w:val="a3"/>
        <w:numPr>
          <w:ilvl w:val="0"/>
          <w:numId w:val="35"/>
        </w:numPr>
        <w:ind w:leftChars="0"/>
        <w:jc w:val="both"/>
        <w:rPr>
          <w:rFonts w:ascii="標楷體" w:eastAsia="標楷體" w:hAnsi="標楷體"/>
        </w:rPr>
      </w:pPr>
      <w:r w:rsidRPr="000A7EEC">
        <w:rPr>
          <w:rFonts w:ascii="標楷體" w:eastAsia="標楷體" w:hAnsi="標楷體" w:hint="eastAsia"/>
        </w:rPr>
        <w:t>遲到及早退人員比率超過機關到公人員百分之三者。</w:t>
      </w:r>
    </w:p>
    <w:p w:rsidR="000A7EEC" w:rsidRDefault="008916DB" w:rsidP="000A7EEC">
      <w:pPr>
        <w:pStyle w:val="a3"/>
        <w:numPr>
          <w:ilvl w:val="0"/>
          <w:numId w:val="35"/>
        </w:numPr>
        <w:ind w:leftChars="0"/>
        <w:jc w:val="both"/>
        <w:rPr>
          <w:rFonts w:ascii="標楷體" w:eastAsia="標楷體" w:hAnsi="標楷體"/>
        </w:rPr>
      </w:pPr>
      <w:r w:rsidRPr="000A7EEC">
        <w:rPr>
          <w:rFonts w:ascii="標楷體" w:eastAsia="標楷體" w:hAnsi="標楷體" w:hint="eastAsia"/>
        </w:rPr>
        <w:t>有代簽到（退）或代打（刷）卡，或預簽之情事者。</w:t>
      </w:r>
    </w:p>
    <w:p w:rsidR="000A7EEC" w:rsidRDefault="008916DB" w:rsidP="000A7EEC">
      <w:pPr>
        <w:pStyle w:val="a3"/>
        <w:numPr>
          <w:ilvl w:val="0"/>
          <w:numId w:val="35"/>
        </w:numPr>
        <w:ind w:leftChars="0"/>
        <w:jc w:val="both"/>
        <w:rPr>
          <w:rFonts w:ascii="標楷體" w:eastAsia="標楷體" w:hAnsi="標楷體"/>
        </w:rPr>
      </w:pPr>
      <w:r w:rsidRPr="000A7EEC">
        <w:rPr>
          <w:rFonts w:ascii="標楷體" w:eastAsia="標楷體" w:hAnsi="標楷體" w:hint="eastAsia"/>
        </w:rPr>
        <w:t>辦公紀律不佳，到勤人員有擅離工作崗位或從事與業務無關之工作者。</w:t>
      </w:r>
    </w:p>
    <w:p w:rsidR="000A7EEC" w:rsidRDefault="008916DB" w:rsidP="000A7EEC">
      <w:pPr>
        <w:pStyle w:val="a3"/>
        <w:numPr>
          <w:ilvl w:val="0"/>
          <w:numId w:val="35"/>
        </w:numPr>
        <w:ind w:leftChars="0"/>
        <w:jc w:val="both"/>
        <w:rPr>
          <w:rFonts w:ascii="標楷體" w:eastAsia="標楷體" w:hAnsi="標楷體"/>
        </w:rPr>
      </w:pPr>
      <w:r w:rsidRPr="000A7EEC">
        <w:rPr>
          <w:rFonts w:ascii="標楷體" w:eastAsia="標楷體" w:hAnsi="標楷體" w:hint="eastAsia"/>
        </w:rPr>
        <w:t>到勤人員或出差歸來人員有喝酒情事者。</w:t>
      </w:r>
    </w:p>
    <w:p w:rsidR="000A7EEC" w:rsidRDefault="008916DB" w:rsidP="000A7EEC">
      <w:pPr>
        <w:pStyle w:val="a3"/>
        <w:numPr>
          <w:ilvl w:val="0"/>
          <w:numId w:val="35"/>
        </w:numPr>
        <w:ind w:leftChars="0"/>
        <w:jc w:val="both"/>
        <w:rPr>
          <w:rFonts w:ascii="標楷體" w:eastAsia="標楷體" w:hAnsi="標楷體"/>
        </w:rPr>
      </w:pPr>
      <w:r w:rsidRPr="000A7EEC">
        <w:rPr>
          <w:rFonts w:ascii="標楷體" w:eastAsia="標楷體" w:hAnsi="標楷體" w:hint="eastAsia"/>
        </w:rPr>
        <w:t>人員出差事由、地點及日期不同，未逐日填寫出差單或未列舉出差事由者。</w:t>
      </w:r>
    </w:p>
    <w:p w:rsidR="000A7EEC" w:rsidRPr="00866AB3" w:rsidRDefault="008916DB" w:rsidP="000A7EEC">
      <w:pPr>
        <w:pStyle w:val="a3"/>
        <w:numPr>
          <w:ilvl w:val="0"/>
          <w:numId w:val="35"/>
        </w:numPr>
        <w:ind w:leftChars="0"/>
        <w:jc w:val="both"/>
        <w:rPr>
          <w:rFonts w:ascii="標楷體" w:eastAsia="標楷體" w:hAnsi="標楷體"/>
        </w:rPr>
      </w:pPr>
      <w:r w:rsidRPr="000A7EEC">
        <w:rPr>
          <w:rFonts w:ascii="標楷體" w:eastAsia="標楷體" w:hAnsi="標楷體" w:hint="eastAsia"/>
        </w:rPr>
        <w:t>正、副主管（首長）同時差假，未經核准者。</w:t>
      </w:r>
    </w:p>
    <w:p w:rsidR="000A7EEC" w:rsidRDefault="000A7EEC" w:rsidP="000A7EEC">
      <w:pPr>
        <w:jc w:val="both"/>
        <w:rPr>
          <w:rFonts w:ascii="標楷體" w:eastAsia="標楷體" w:hAnsi="標楷體"/>
        </w:rPr>
      </w:pPr>
    </w:p>
    <w:p w:rsidR="006802E9" w:rsidRDefault="000A7EEC" w:rsidP="006802E9">
      <w:pPr>
        <w:pStyle w:val="a3"/>
        <w:numPr>
          <w:ilvl w:val="0"/>
          <w:numId w:val="23"/>
        </w:numPr>
        <w:ind w:leftChars="0"/>
        <w:jc w:val="both"/>
        <w:rPr>
          <w:rFonts w:ascii="標楷體" w:eastAsia="標楷體" w:hAnsi="標楷體"/>
        </w:rPr>
      </w:pPr>
      <w:r w:rsidRPr="006802E9">
        <w:rPr>
          <w:rFonts w:ascii="標楷體" w:eastAsia="標楷體" w:hAnsi="標楷體" w:hint="eastAsia"/>
        </w:rPr>
        <w:t>查核結果處理：</w:t>
      </w:r>
    </w:p>
    <w:p w:rsidR="006802E9" w:rsidRDefault="000A7EEC" w:rsidP="006802E9">
      <w:pPr>
        <w:pStyle w:val="a3"/>
        <w:numPr>
          <w:ilvl w:val="0"/>
          <w:numId w:val="39"/>
        </w:numPr>
        <w:ind w:leftChars="0"/>
        <w:jc w:val="both"/>
        <w:rPr>
          <w:rFonts w:ascii="標楷體" w:eastAsia="標楷體" w:hAnsi="標楷體"/>
        </w:rPr>
      </w:pPr>
      <w:r w:rsidRPr="006802E9">
        <w:rPr>
          <w:rFonts w:ascii="標楷體" w:eastAsia="標楷體" w:hAnsi="標楷體" w:hint="eastAsia"/>
        </w:rPr>
        <w:t>被指派查核之機關人員應於查核日起三天內（例假日順延），將員工勤惰管理抽查報告表（附表一）、查勤簽到名單（附表二）送本府人事處辦理。公務品質調查表由本府人事處轉出差人員服務單位（機關）主管（首長）、</w:t>
      </w:r>
      <w:r w:rsidR="00890EC3">
        <w:rPr>
          <w:rFonts w:ascii="標楷體" w:eastAsia="標楷體" w:hAnsi="標楷體" w:hint="eastAsia"/>
        </w:rPr>
        <w:t>綜合規劃</w:t>
      </w:r>
      <w:r w:rsidRPr="006802E9">
        <w:rPr>
          <w:rFonts w:ascii="標楷體" w:eastAsia="標楷體" w:hAnsi="標楷體" w:hint="eastAsia"/>
        </w:rPr>
        <w:t>處及政風處辦理。</w:t>
      </w:r>
    </w:p>
    <w:p w:rsidR="003A5543" w:rsidRPr="006C299F" w:rsidRDefault="000A7EEC" w:rsidP="006C299F">
      <w:pPr>
        <w:pStyle w:val="a3"/>
        <w:numPr>
          <w:ilvl w:val="0"/>
          <w:numId w:val="39"/>
        </w:numPr>
        <w:ind w:leftChars="0"/>
        <w:jc w:val="both"/>
        <w:rPr>
          <w:rFonts w:ascii="標楷體" w:eastAsia="標楷體" w:hAnsi="標楷體"/>
        </w:rPr>
      </w:pPr>
      <w:r w:rsidRPr="006802E9">
        <w:rPr>
          <w:rFonts w:ascii="標楷體" w:eastAsia="標楷體" w:hAnsi="標楷體" w:hint="eastAsia"/>
        </w:rPr>
        <w:t>受查核單位（機關）查核結果有待改進事項者，由本府人事處簽會或函請受查核單位（機關）處理，並予追蹤考核至改善為止。上開查勤結果將作為單位主管或機關首長年終考核之參據。</w:t>
      </w:r>
    </w:p>
    <w:sectPr w:rsidR="003A5543" w:rsidRPr="006C299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133" w:rsidRDefault="00B86133" w:rsidP="00D84D6A">
      <w:r>
        <w:separator/>
      </w:r>
    </w:p>
  </w:endnote>
  <w:endnote w:type="continuationSeparator" w:id="0">
    <w:p w:rsidR="00B86133" w:rsidRDefault="00B86133" w:rsidP="00D8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133" w:rsidRDefault="00B86133" w:rsidP="00D84D6A">
      <w:r>
        <w:separator/>
      </w:r>
    </w:p>
  </w:footnote>
  <w:footnote w:type="continuationSeparator" w:id="0">
    <w:p w:rsidR="00B86133" w:rsidRDefault="00B86133" w:rsidP="00D84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986"/>
    <w:multiLevelType w:val="hybridMultilevel"/>
    <w:tmpl w:val="7F265320"/>
    <w:lvl w:ilvl="0" w:tplc="F8766676">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 w15:restartNumberingAfterBreak="0">
    <w:nsid w:val="01960A66"/>
    <w:multiLevelType w:val="hybridMultilevel"/>
    <w:tmpl w:val="6E8EC724"/>
    <w:lvl w:ilvl="0" w:tplc="E8966174">
      <w:start w:val="1"/>
      <w:numFmt w:val="decimal"/>
      <w:lvlText w:val="%1."/>
      <w:lvlJc w:val="left"/>
      <w:pPr>
        <w:ind w:left="2010" w:hanging="360"/>
      </w:pPr>
      <w:rPr>
        <w:rFonts w:hint="default"/>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2" w15:restartNumberingAfterBreak="0">
    <w:nsid w:val="02D0243A"/>
    <w:multiLevelType w:val="hybridMultilevel"/>
    <w:tmpl w:val="61846A96"/>
    <w:lvl w:ilvl="0" w:tplc="0B343518">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3" w15:restartNumberingAfterBreak="0">
    <w:nsid w:val="04420B77"/>
    <w:multiLevelType w:val="hybridMultilevel"/>
    <w:tmpl w:val="BAB688E2"/>
    <w:lvl w:ilvl="0" w:tplc="3C0AA1DC">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4" w15:restartNumberingAfterBreak="0">
    <w:nsid w:val="091061C3"/>
    <w:multiLevelType w:val="hybridMultilevel"/>
    <w:tmpl w:val="A570439C"/>
    <w:lvl w:ilvl="0" w:tplc="78F24852">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66348"/>
    <w:multiLevelType w:val="hybridMultilevel"/>
    <w:tmpl w:val="31B69BF8"/>
    <w:lvl w:ilvl="0" w:tplc="4B1E20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CD456EA"/>
    <w:multiLevelType w:val="hybridMultilevel"/>
    <w:tmpl w:val="473673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2E3644"/>
    <w:multiLevelType w:val="hybridMultilevel"/>
    <w:tmpl w:val="18AE368A"/>
    <w:lvl w:ilvl="0" w:tplc="99BA013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811ECE"/>
    <w:multiLevelType w:val="hybridMultilevel"/>
    <w:tmpl w:val="111A8010"/>
    <w:lvl w:ilvl="0" w:tplc="8ADC8C6E">
      <w:start w:val="1"/>
      <w:numFmt w:val="ideographLegalTraditional"/>
      <w:suff w:val="nothing"/>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176DFB"/>
    <w:multiLevelType w:val="hybridMultilevel"/>
    <w:tmpl w:val="F05465A0"/>
    <w:lvl w:ilvl="0" w:tplc="C1347E6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58B3642"/>
    <w:multiLevelType w:val="hybridMultilevel"/>
    <w:tmpl w:val="DC402D8E"/>
    <w:lvl w:ilvl="0" w:tplc="487ACA64">
      <w:start w:val="1"/>
      <w:numFmt w:val="taiwaneseCountingThousand"/>
      <w:lvlText w:val="（%1）"/>
      <w:lvlJc w:val="left"/>
      <w:pPr>
        <w:ind w:left="1170" w:hanging="72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1" w15:restartNumberingAfterBreak="0">
    <w:nsid w:val="160C04B1"/>
    <w:multiLevelType w:val="hybridMultilevel"/>
    <w:tmpl w:val="205CF16C"/>
    <w:lvl w:ilvl="0" w:tplc="0F4C3F7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8D66CBE"/>
    <w:multiLevelType w:val="hybridMultilevel"/>
    <w:tmpl w:val="4E3236CA"/>
    <w:lvl w:ilvl="0" w:tplc="0D54A446">
      <w:start w:val="1"/>
      <w:numFmt w:val="decimal"/>
      <w:lvlText w:val="%1."/>
      <w:lvlJc w:val="left"/>
      <w:pPr>
        <w:ind w:left="2010" w:hanging="360"/>
      </w:pPr>
      <w:rPr>
        <w:rFonts w:hint="default"/>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3" w15:restartNumberingAfterBreak="0">
    <w:nsid w:val="1B792920"/>
    <w:multiLevelType w:val="hybridMultilevel"/>
    <w:tmpl w:val="F402B29A"/>
    <w:lvl w:ilvl="0" w:tplc="C56C652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0010AD4"/>
    <w:multiLevelType w:val="hybridMultilevel"/>
    <w:tmpl w:val="48D8D4B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25D648BE"/>
    <w:multiLevelType w:val="hybridMultilevel"/>
    <w:tmpl w:val="90823E76"/>
    <w:lvl w:ilvl="0" w:tplc="C56C652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B144D70"/>
    <w:multiLevelType w:val="hybridMultilevel"/>
    <w:tmpl w:val="3B1AD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5156A8"/>
    <w:multiLevelType w:val="hybridMultilevel"/>
    <w:tmpl w:val="7B0021A8"/>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2DB94323"/>
    <w:multiLevelType w:val="hybridMultilevel"/>
    <w:tmpl w:val="2550BF28"/>
    <w:lvl w:ilvl="0" w:tplc="4E18872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5B2136"/>
    <w:multiLevelType w:val="hybridMultilevel"/>
    <w:tmpl w:val="52448164"/>
    <w:lvl w:ilvl="0" w:tplc="C56C652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6C84CC6"/>
    <w:multiLevelType w:val="hybridMultilevel"/>
    <w:tmpl w:val="27A090EC"/>
    <w:lvl w:ilvl="0" w:tplc="FA3C66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7200737"/>
    <w:multiLevelType w:val="hybridMultilevel"/>
    <w:tmpl w:val="F32EAAE8"/>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37AD13B4"/>
    <w:multiLevelType w:val="hybridMultilevel"/>
    <w:tmpl w:val="0A605D24"/>
    <w:lvl w:ilvl="0" w:tplc="5184882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3" w15:restartNumberingAfterBreak="0">
    <w:nsid w:val="3AEB0535"/>
    <w:multiLevelType w:val="hybridMultilevel"/>
    <w:tmpl w:val="F42831F8"/>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45DA10A4"/>
    <w:multiLevelType w:val="hybridMultilevel"/>
    <w:tmpl w:val="7346D74E"/>
    <w:lvl w:ilvl="0" w:tplc="28B28144">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5" w15:restartNumberingAfterBreak="0">
    <w:nsid w:val="487047AF"/>
    <w:multiLevelType w:val="hybridMultilevel"/>
    <w:tmpl w:val="AA1C73E8"/>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4A155AD1"/>
    <w:multiLevelType w:val="hybridMultilevel"/>
    <w:tmpl w:val="41D27AD4"/>
    <w:lvl w:ilvl="0" w:tplc="C56C652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A584ADE"/>
    <w:multiLevelType w:val="hybridMultilevel"/>
    <w:tmpl w:val="B436F778"/>
    <w:lvl w:ilvl="0" w:tplc="DB56F1D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CF80C55"/>
    <w:multiLevelType w:val="hybridMultilevel"/>
    <w:tmpl w:val="2AF8B538"/>
    <w:lvl w:ilvl="0" w:tplc="3168D62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3790772"/>
    <w:multiLevelType w:val="hybridMultilevel"/>
    <w:tmpl w:val="CE345F18"/>
    <w:lvl w:ilvl="0" w:tplc="39DE66A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30" w15:restartNumberingAfterBreak="0">
    <w:nsid w:val="5A1067DF"/>
    <w:multiLevelType w:val="hybridMultilevel"/>
    <w:tmpl w:val="F928F610"/>
    <w:lvl w:ilvl="0" w:tplc="59187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B673E9F"/>
    <w:multiLevelType w:val="hybridMultilevel"/>
    <w:tmpl w:val="11400DD8"/>
    <w:lvl w:ilvl="0" w:tplc="FF6ECE0E">
      <w:start w:val="1"/>
      <w:numFmt w:val="decimal"/>
      <w:lvlText w:val="%1."/>
      <w:lvlJc w:val="left"/>
      <w:pPr>
        <w:ind w:left="2010" w:hanging="360"/>
      </w:pPr>
      <w:rPr>
        <w:rFonts w:hint="default"/>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32" w15:restartNumberingAfterBreak="0">
    <w:nsid w:val="63B5703E"/>
    <w:multiLevelType w:val="hybridMultilevel"/>
    <w:tmpl w:val="7F5EDB58"/>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644D1812"/>
    <w:multiLevelType w:val="hybridMultilevel"/>
    <w:tmpl w:val="45F8A73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4" w15:restartNumberingAfterBreak="0">
    <w:nsid w:val="6FC362EF"/>
    <w:multiLevelType w:val="hybridMultilevel"/>
    <w:tmpl w:val="65B8E31A"/>
    <w:lvl w:ilvl="0" w:tplc="CDB0847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1B62ABA"/>
    <w:multiLevelType w:val="hybridMultilevel"/>
    <w:tmpl w:val="C33458A4"/>
    <w:lvl w:ilvl="0" w:tplc="A120C53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4DE4134"/>
    <w:multiLevelType w:val="hybridMultilevel"/>
    <w:tmpl w:val="48266C08"/>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7" w15:restartNumberingAfterBreak="0">
    <w:nsid w:val="778452AD"/>
    <w:multiLevelType w:val="hybridMultilevel"/>
    <w:tmpl w:val="18A836DC"/>
    <w:lvl w:ilvl="0" w:tplc="10E6B9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E497DC7"/>
    <w:multiLevelType w:val="hybridMultilevel"/>
    <w:tmpl w:val="0896E1FE"/>
    <w:lvl w:ilvl="0" w:tplc="28B28144">
      <w:start w:val="1"/>
      <w:numFmt w:val="decimal"/>
      <w:lvlText w:val="%1."/>
      <w:lvlJc w:val="left"/>
      <w:pPr>
        <w:ind w:left="206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0"/>
  </w:num>
  <w:num w:numId="3">
    <w:abstractNumId w:val="21"/>
  </w:num>
  <w:num w:numId="4">
    <w:abstractNumId w:val="25"/>
  </w:num>
  <w:num w:numId="5">
    <w:abstractNumId w:val="32"/>
  </w:num>
  <w:num w:numId="6">
    <w:abstractNumId w:val="5"/>
  </w:num>
  <w:num w:numId="7">
    <w:abstractNumId w:val="33"/>
  </w:num>
  <w:num w:numId="8">
    <w:abstractNumId w:val="17"/>
  </w:num>
  <w:num w:numId="9">
    <w:abstractNumId w:val="23"/>
  </w:num>
  <w:num w:numId="10">
    <w:abstractNumId w:val="35"/>
  </w:num>
  <w:num w:numId="11">
    <w:abstractNumId w:val="11"/>
  </w:num>
  <w:num w:numId="12">
    <w:abstractNumId w:val="36"/>
  </w:num>
  <w:num w:numId="13">
    <w:abstractNumId w:val="14"/>
  </w:num>
  <w:num w:numId="14">
    <w:abstractNumId w:val="34"/>
  </w:num>
  <w:num w:numId="15">
    <w:abstractNumId w:val="27"/>
  </w:num>
  <w:num w:numId="16">
    <w:abstractNumId w:val="37"/>
  </w:num>
  <w:num w:numId="17">
    <w:abstractNumId w:val="18"/>
  </w:num>
  <w:num w:numId="18">
    <w:abstractNumId w:val="19"/>
  </w:num>
  <w:num w:numId="19">
    <w:abstractNumId w:val="26"/>
  </w:num>
  <w:num w:numId="20">
    <w:abstractNumId w:val="13"/>
  </w:num>
  <w:num w:numId="21">
    <w:abstractNumId w:val="15"/>
  </w:num>
  <w:num w:numId="22">
    <w:abstractNumId w:val="6"/>
  </w:num>
  <w:num w:numId="23">
    <w:abstractNumId w:val="8"/>
  </w:num>
  <w:num w:numId="24">
    <w:abstractNumId w:val="20"/>
  </w:num>
  <w:num w:numId="25">
    <w:abstractNumId w:val="3"/>
  </w:num>
  <w:num w:numId="26">
    <w:abstractNumId w:val="2"/>
  </w:num>
  <w:num w:numId="27">
    <w:abstractNumId w:val="0"/>
  </w:num>
  <w:num w:numId="28">
    <w:abstractNumId w:val="1"/>
  </w:num>
  <w:num w:numId="29">
    <w:abstractNumId w:val="31"/>
  </w:num>
  <w:num w:numId="30">
    <w:abstractNumId w:val="10"/>
  </w:num>
  <w:num w:numId="31">
    <w:abstractNumId w:val="29"/>
  </w:num>
  <w:num w:numId="32">
    <w:abstractNumId w:val="9"/>
  </w:num>
  <w:num w:numId="33">
    <w:abstractNumId w:val="28"/>
  </w:num>
  <w:num w:numId="34">
    <w:abstractNumId w:val="12"/>
  </w:num>
  <w:num w:numId="35">
    <w:abstractNumId w:val="24"/>
  </w:num>
  <w:num w:numId="36">
    <w:abstractNumId w:val="38"/>
  </w:num>
  <w:num w:numId="37">
    <w:abstractNumId w:val="16"/>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72"/>
    <w:rsid w:val="0002071F"/>
    <w:rsid w:val="00050272"/>
    <w:rsid w:val="000A7EEC"/>
    <w:rsid w:val="00136DEC"/>
    <w:rsid w:val="0013797C"/>
    <w:rsid w:val="001B75A1"/>
    <w:rsid w:val="002062EF"/>
    <w:rsid w:val="00217517"/>
    <w:rsid w:val="00285883"/>
    <w:rsid w:val="00344FB8"/>
    <w:rsid w:val="00392A21"/>
    <w:rsid w:val="003A5543"/>
    <w:rsid w:val="00471E7E"/>
    <w:rsid w:val="004B6CF5"/>
    <w:rsid w:val="00543BD3"/>
    <w:rsid w:val="00572E13"/>
    <w:rsid w:val="00577E6A"/>
    <w:rsid w:val="00610E94"/>
    <w:rsid w:val="00647B10"/>
    <w:rsid w:val="006802E9"/>
    <w:rsid w:val="006C299F"/>
    <w:rsid w:val="00746924"/>
    <w:rsid w:val="00754810"/>
    <w:rsid w:val="007C04E1"/>
    <w:rsid w:val="0080557E"/>
    <w:rsid w:val="00866AB3"/>
    <w:rsid w:val="00890EC3"/>
    <w:rsid w:val="008916DB"/>
    <w:rsid w:val="008B1BB8"/>
    <w:rsid w:val="008C2DD2"/>
    <w:rsid w:val="008C3FB4"/>
    <w:rsid w:val="00970006"/>
    <w:rsid w:val="009F7378"/>
    <w:rsid w:val="00A33693"/>
    <w:rsid w:val="00A50A5F"/>
    <w:rsid w:val="00B217E5"/>
    <w:rsid w:val="00B86133"/>
    <w:rsid w:val="00BD563B"/>
    <w:rsid w:val="00C11FD5"/>
    <w:rsid w:val="00CA2B24"/>
    <w:rsid w:val="00D351D1"/>
    <w:rsid w:val="00D84D6A"/>
    <w:rsid w:val="00DF03B7"/>
    <w:rsid w:val="00E84122"/>
    <w:rsid w:val="00EC3B33"/>
    <w:rsid w:val="00EC63B2"/>
    <w:rsid w:val="00F0232C"/>
    <w:rsid w:val="00F55490"/>
    <w:rsid w:val="00FE0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DEE9DD-8391-45E7-8F9C-09B8FBE7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2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272"/>
    <w:pPr>
      <w:ind w:leftChars="200" w:left="480"/>
    </w:pPr>
  </w:style>
  <w:style w:type="paragraph" w:styleId="a4">
    <w:name w:val="header"/>
    <w:basedOn w:val="a"/>
    <w:link w:val="a5"/>
    <w:uiPriority w:val="99"/>
    <w:unhideWhenUsed/>
    <w:rsid w:val="00D84D6A"/>
    <w:pPr>
      <w:tabs>
        <w:tab w:val="center" w:pos="4153"/>
        <w:tab w:val="right" w:pos="8306"/>
      </w:tabs>
      <w:snapToGrid w:val="0"/>
    </w:pPr>
    <w:rPr>
      <w:sz w:val="20"/>
      <w:szCs w:val="20"/>
    </w:rPr>
  </w:style>
  <w:style w:type="character" w:customStyle="1" w:styleId="a5">
    <w:name w:val="頁首 字元"/>
    <w:basedOn w:val="a0"/>
    <w:link w:val="a4"/>
    <w:uiPriority w:val="99"/>
    <w:rsid w:val="00D84D6A"/>
    <w:rPr>
      <w:rFonts w:ascii="Times New Roman" w:eastAsia="新細明體" w:hAnsi="Times New Roman" w:cs="Times New Roman"/>
      <w:sz w:val="20"/>
      <w:szCs w:val="20"/>
    </w:rPr>
  </w:style>
  <w:style w:type="paragraph" w:styleId="a6">
    <w:name w:val="footer"/>
    <w:basedOn w:val="a"/>
    <w:link w:val="a7"/>
    <w:uiPriority w:val="99"/>
    <w:unhideWhenUsed/>
    <w:rsid w:val="00D84D6A"/>
    <w:pPr>
      <w:tabs>
        <w:tab w:val="center" w:pos="4153"/>
        <w:tab w:val="right" w:pos="8306"/>
      </w:tabs>
      <w:snapToGrid w:val="0"/>
    </w:pPr>
    <w:rPr>
      <w:sz w:val="20"/>
      <w:szCs w:val="20"/>
    </w:rPr>
  </w:style>
  <w:style w:type="character" w:customStyle="1" w:styleId="a7">
    <w:name w:val="頁尾 字元"/>
    <w:basedOn w:val="a0"/>
    <w:link w:val="a6"/>
    <w:uiPriority w:val="99"/>
    <w:rsid w:val="00D84D6A"/>
    <w:rPr>
      <w:rFonts w:ascii="Times New Roman" w:eastAsia="新細明體" w:hAnsi="Times New Roman" w:cs="Times New Roman"/>
      <w:sz w:val="20"/>
      <w:szCs w:val="20"/>
    </w:rPr>
  </w:style>
  <w:style w:type="paragraph" w:styleId="a8">
    <w:name w:val="Balloon Text"/>
    <w:basedOn w:val="a"/>
    <w:link w:val="a9"/>
    <w:uiPriority w:val="99"/>
    <w:semiHidden/>
    <w:unhideWhenUsed/>
    <w:rsid w:val="0028588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58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285</Words>
  <Characters>1630</Characters>
  <Application>Microsoft Office Word</Application>
  <DocSecurity>0</DocSecurity>
  <Lines>13</Lines>
  <Paragraphs>3</Paragraphs>
  <ScaleCrop>false</ScaleCrop>
  <Company>CYHG</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林潔妤</dc:creator>
  <cp:keywords/>
  <dc:description/>
  <cp:lastModifiedBy>詹佳穎</cp:lastModifiedBy>
  <cp:revision>22</cp:revision>
  <cp:lastPrinted>2020-08-24T01:43:00Z</cp:lastPrinted>
  <dcterms:created xsi:type="dcterms:W3CDTF">2020-08-11T03:23:00Z</dcterms:created>
  <dcterms:modified xsi:type="dcterms:W3CDTF">2020-08-26T06:29:00Z</dcterms:modified>
</cp:coreProperties>
</file>