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D5" w:rsidRDefault="00EA5BAD">
      <w:pPr>
        <w:pStyle w:val="Standard"/>
        <w:spacing w:after="180" w:line="480" w:lineRule="exact"/>
        <w:jc w:val="center"/>
      </w:pPr>
      <w:bookmarkStart w:id="0" w:name="_GoBack"/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等公務園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</w:rPr>
        <w:t>+</w:t>
      </w: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學習平臺課程建置及掛置規範修正對照表</w:t>
      </w:r>
    </w:p>
    <w:tbl>
      <w:tblPr>
        <w:tblW w:w="9862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2662"/>
      </w:tblGrid>
      <w:tr w:rsidR="004F30D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F30D5" w:rsidRDefault="00EA5BA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修正規定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0D5" w:rsidRDefault="00EA5BA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現行規定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0D5" w:rsidRDefault="00EA5BA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說明</w:t>
            </w:r>
          </w:p>
        </w:tc>
      </w:tr>
      <w:tr w:rsidR="004F30D5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一、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目的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3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為因應資通訊科技發展趨勢，並避免數位課程重複建置開發，整合行政院及所屬機關（構）數位學習資源，透過資源分享及交流互惠，提供專業及多元化課程，營造便利及友善之數位學習環境，健全數位學習成果評量機制，以運用數位學習提升服務品質與效率，爰訂定本規範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一、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目的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34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為因應資通訊科技發展趨勢，並避免數位課程重複建置開發，整合行政院及所屬機關（構）數位學習資源，透過資源分享及交流互惠，提供專業及多元化課程，營造便利及友善之數位學習環境，健全數位學習成果評量機制，以運用數位學習提升服務品質與效率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行政院人事行政總處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以下簡稱本總處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爰訂定本規範。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依據行政院人事行政總處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108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19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日總處培字第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1080025727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號函，公部門數位學習資源整合平臺業移轉本學院維運管理，爰作文字修正。</w:t>
            </w:r>
          </w:p>
        </w:tc>
      </w:tr>
      <w:tr w:rsidR="004F30D5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二、實施對象及範圍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34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本規範係針對擬掛置於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等公務園</w:t>
            </w:r>
            <w:r>
              <w:rPr>
                <w:rFonts w:ascii="標楷體" w:eastAsia="標楷體" w:hAnsi="標楷體" w:cs="標楷體"/>
                <w:color w:val="000000"/>
                <w:szCs w:val="24"/>
                <w:vertAlign w:val="superscript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學習平臺（以下簡稱本平臺）之數位課程。範圍以提供公務人員閱讀之數位課程為主，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MOOCs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SPOC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、直播課程、微學習課程等類型為輔。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二、實施對象及範圍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34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本規範係針對擬掛置於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等公務園</w:t>
            </w:r>
            <w:r>
              <w:rPr>
                <w:rFonts w:ascii="標楷體" w:eastAsia="標楷體" w:hAnsi="標楷體" w:cs="標楷體"/>
                <w:color w:val="000000"/>
                <w:szCs w:val="24"/>
                <w:vertAlign w:val="superscript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學習平臺（以下簡稱本平臺）之數位課程。範圍以提供公務人員閱讀之數位課程為主，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MOOCs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SPOC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、直播課程、微學習課程等類型為輔。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未修正。</w:t>
            </w:r>
          </w:p>
        </w:tc>
      </w:tr>
      <w:tr w:rsidR="004F30D5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三、建置原則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（一）擬掛置於本平臺之數位課程，在不重複投入資源製作相同課程前提下，配合公務人員核心能力分為共通、管理及專業核心能力，新建課程依各該核心能力進行分工如下：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804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、共通及管理核心能力課程：由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  <w:lang w:eastAsia="zh-HK"/>
              </w:rPr>
              <w:t>行政院人事行政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lastRenderedPageBreak/>
              <w:t>總處公務人力發展學院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扣合各該項目（次項目）之定義與行為指標建置課程。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804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專業核心能力課程：各機關（構）得依其主管業務需要及特色建置數位課程，並將相關資料通報「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  <w:lang w:eastAsia="zh-HK"/>
              </w:rPr>
              <w:t>行政院人事行政總處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公務人員終身學習入口網站」學習資訊維護之「數位教材資訊通報」專區。惟建置數位課程前，應先至該專區查詢各機關（構）建置情形，如有相同課程請先洽建置機關（構）分享。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各機關（構）掛置於本平臺之數位課程，應符合下列基本規範：</w:t>
            </w:r>
          </w:p>
          <w:p w:rsidR="004F30D5" w:rsidRDefault="00EA5BAD">
            <w:pPr>
              <w:pStyle w:val="Standard"/>
              <w:numPr>
                <w:ilvl w:val="0"/>
                <w:numId w:val="5"/>
              </w:numPr>
              <w:snapToGrid w:val="0"/>
              <w:spacing w:line="400" w:lineRule="exact"/>
              <w:ind w:left="851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提供之數位課程，請提供可直接閱讀課程首頁之檔案路徑（如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:ind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ex.htm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）。</w:t>
            </w:r>
          </w:p>
          <w:p w:rsidR="004F30D5" w:rsidRDefault="00EA5BAD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ind w:left="851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數位課程需可支援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Internet Explorer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IE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10.0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以上、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Microsoft Edge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Google Chrome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Safari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等瀏覽器格式。</w:t>
            </w:r>
          </w:p>
          <w:p w:rsidR="004F30D5" w:rsidRDefault="00EA5BAD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ind w:left="851" w:hanging="426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數位課程如為影音格式，在不侵犯著作權前提下，以外部串流連結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方式為優先考量。如擬掛置於本平臺，其解析度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建議設定為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720P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ind w:left="851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851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851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851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851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ind w:left="851" w:hanging="426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數位課程應使用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HTML5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MP4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MP3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（音訊檔）、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PDF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（文字檔）、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SCORM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1.2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2004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、圖檔及網頁等格式，並可允許離線閱讀，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請勿使用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FLASH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格式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ind w:left="851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ind w:left="851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如為微學習課程，提供課程每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單元長度以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分鐘為原則。</w:t>
            </w:r>
          </w:p>
          <w:p w:rsidR="004F30D5" w:rsidRDefault="00EA5BAD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ind w:left="851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所有課程均需提供各課程代表圖示（圖檔規格為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472pixels × 266 pixels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各機關（構）建置之數位課程如需採計公務人員終身學習時數，應依「</w:t>
            </w:r>
            <w:r>
              <w:rPr>
                <w:rFonts w:ascii="標楷體" w:eastAsia="標楷體" w:hAnsi="標楷體" w:cs="標楷體"/>
                <w:u w:val="single"/>
              </w:rPr>
              <w:t>行政院及所屬機關學校推動公務人員終身學習實施要點</w:t>
            </w:r>
            <w:r>
              <w:rPr>
                <w:rFonts w:ascii="標楷體" w:eastAsia="標楷體" w:hAnsi="標楷體" w:cs="標楷體"/>
              </w:rPr>
              <w:t>」辦理，各機關（構）並應提供測驗題庫；公務人員閱讀各機關（構）建置之數位課程至少應達該數位課程總時數之半數，並通過學習成果評量，始得登錄公務人員終身學習</w:t>
            </w:r>
            <w:r>
              <w:rPr>
                <w:rFonts w:ascii="標楷體" w:eastAsia="標楷體" w:hAnsi="標楷體" w:cs="標楷體"/>
              </w:rPr>
              <w:lastRenderedPageBreak/>
              <w:t>時數。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各機關（構）所製作之課程應符合智慧財產權之相關規定，如有爭議將逕行下線處理。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各機關（構）每年應至少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次定期檢視及更新數位課程內容，惟如課程內容顯有不合時宜、所引用法規或重大政策修訂時，課程建置機關（構）應即通知本平臺管理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單位</w:t>
            </w:r>
            <w:r>
              <w:rPr>
                <w:rFonts w:ascii="標楷體" w:eastAsia="標楷體" w:hAnsi="標楷體" w:cs="標楷體"/>
              </w:rPr>
              <w:t>將課程下線並檢視修正課程內容，俟修正或重製後再行上線；另各機關（構）可自行訂定數位課程掛置、下線及定期檢視原則，以提供公務人員專業且正確之數位課程內容。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為避免課程內容重複性問題，及提升學習實益，本平臺管理單位將另訂課程閱讀回饋機制，由使用端提出課程重複疑義，再由本平臺管理單位檢視。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三、建置原則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5" w:hanging="42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（一）擬掛置於本平臺之數位課程，在不重複投入資源製作相同課程前提下，配合公務人員核心能力分為共通、管理及專業核心能力，新建課程依各該核心能力進行分工如下：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804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、共通及管理核心能力課程：由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本總處所屬公務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lastRenderedPageBreak/>
              <w:t>人力發展學院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扣合各該項目（次項目）之定義與行為指標建置課程。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ind w:left="804" w:hanging="42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ind w:left="804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、專業核心能力課程：各機關（構）得依其主管業務需要及特色建置數位課程，並將相關資料通報「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本總處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公務人員終身學習入口網站」學習資訊維護之「數位教材資訊通報」專區。惟建置數位課程前，應先至該專區查詢各機關（構）建置情形，如有相同課程請先洽建置機關（構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）分享。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ind w:left="804" w:hanging="42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ind w:left="401" w:hanging="401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各機關（構）掛置於本平臺之數位課程，應符合下列基本規範</w:t>
            </w:r>
          </w:p>
          <w:p w:rsidR="004F30D5" w:rsidRDefault="00EA5BAD">
            <w:pPr>
              <w:pStyle w:val="Standard"/>
              <w:numPr>
                <w:ilvl w:val="0"/>
                <w:numId w:val="6"/>
              </w:numPr>
              <w:snapToGrid w:val="0"/>
              <w:spacing w:line="400" w:lineRule="exact"/>
              <w:ind w:left="827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提供之數位課程，請提供可直接閱讀課程首頁之檔案路徑（如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:index.htm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）。</w:t>
            </w:r>
          </w:p>
          <w:p w:rsidR="004F30D5" w:rsidRDefault="00EA5BAD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827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數位課程需可支援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Internet Explorer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IE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10.0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以上、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Microsoft Edge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Google Chrome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Safari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等瀏覽器格式。</w:t>
            </w:r>
          </w:p>
          <w:p w:rsidR="004F30D5" w:rsidRDefault="00EA5BAD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827" w:hanging="426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數位課程如為影音格式，在不侵犯著作權前提下，以外部串流連結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方式為優先考量。如擬掛置於本平臺，其解析度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請設定為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480P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Web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版平臺）或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320P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（行動載具），串流頻寬流量最大設定為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100 Kbps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4F30D5" w:rsidRDefault="00EA5BAD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827" w:hanging="426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數位課程設計之寬度範圍請保持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824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像素以內。</w:t>
            </w:r>
          </w:p>
          <w:p w:rsidR="004F30D5" w:rsidRDefault="00EA5BAD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827" w:hanging="426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數位課程應使用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HTML5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MP4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AVI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WMV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（影音檔）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MP3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（音訊檔）、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PDF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（文字檔）、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SCORM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、圖檔及網頁等格式，並可允許離線閱讀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；行動載具不支援非適性化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SCORM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FLASH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等格式課程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4F30D5" w:rsidRDefault="00EA5BAD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827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如為微學習課程，提供課程每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單元長度以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分鐘為原則。</w:t>
            </w:r>
          </w:p>
          <w:p w:rsidR="004F30D5" w:rsidRDefault="00EA5BAD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827" w:hanging="42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所有課程均需提供各課程代表圖示（圖檔規格為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472pixels × 266 pixels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）。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01" w:hanging="401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各機關（構）建置之數位課程如需採計公務人員終身學習時數，應依「</w:t>
            </w:r>
            <w:r>
              <w:rPr>
                <w:rFonts w:ascii="標楷體" w:eastAsia="標楷體" w:hAnsi="標楷體" w:cs="標楷體"/>
                <w:u w:val="single"/>
              </w:rPr>
              <w:t>行政院及所屬各機關（構）辦理數位學習成果評量實施原則</w:t>
            </w:r>
            <w:r>
              <w:rPr>
                <w:rFonts w:ascii="標楷體" w:eastAsia="標楷體" w:hAnsi="標楷體" w:cs="標楷體"/>
              </w:rPr>
              <w:t>」辦理，各機關（構）並應提供測驗題庫；公務人員閱讀各機關（構）建置之數位課程至少應達該數位課程總時數之半數，並通過學習成果評</w:t>
            </w:r>
            <w:r>
              <w:rPr>
                <w:rFonts w:ascii="標楷體" w:eastAsia="標楷體" w:hAnsi="標楷體" w:cs="標楷體"/>
              </w:rPr>
              <w:lastRenderedPageBreak/>
              <w:t>量，始得登錄公務人員終身學習時數。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01" w:hanging="401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各機關（構）所製作之課程應符合智慧財產權之相關規定，如有爭議將逕行下線處理。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01" w:hanging="401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各機關（構）每年應至少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次定期檢視及更新數位課程內容，惟如課程內容顯有不合時宜、所引用法規或重大政策修訂時，課程建置機關（構）應即通知本平臺管理單位將課程下線並檢視修正課程內容，俟修正或重製後再行上線；另各機關</w:t>
            </w:r>
            <w:r>
              <w:rPr>
                <w:rFonts w:ascii="標楷體" w:eastAsia="標楷體" w:hAnsi="標楷體" w:cs="標楷體"/>
              </w:rPr>
              <w:t>（構）可自行訂定數位課程掛置、下線及定期檢視原則，以提供公務人員專業且正確之數位課程內容。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01" w:hanging="401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</w:rPr>
              <w:t>為避免課程內容重複性問題，及提升學習實益，本平臺管理單位將另訂課程閱讀回饋機制，由使用端提出課程重複疑義，再由本平臺管理單位檢視。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配合第一點修正文字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ind w:left="420" w:hanging="4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為提高課程影像品質，有關影音課程之解析度建議設定為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720P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爰修正第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目，以及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刪除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目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以下目次順移。</w:t>
            </w:r>
          </w:p>
          <w:p w:rsidR="004F30D5" w:rsidRDefault="00EA5BAD">
            <w:pPr>
              <w:pStyle w:val="Standard"/>
              <w:snapToGrid w:val="0"/>
              <w:spacing w:line="400" w:lineRule="exact"/>
              <w:ind w:left="420" w:hanging="4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、為使數位課程達到影音串流之播放效果，爰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修正第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目，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刪除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AVI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WMV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格式，並明定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SCORM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為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1.2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2004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版本；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另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因應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Adobe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公司於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109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年底終止支援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Flash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，爰增列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「請勿使用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FLASH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格式」，並刪除</w:t>
            </w:r>
            <w:r>
              <w:rPr>
                <w:rFonts w:ascii="標楷體" w:eastAsia="標楷體" w:hAnsi="標楷體" w:cs="新細明體, PMingLiU"/>
                <w:color w:val="000000"/>
                <w:szCs w:val="24"/>
              </w:rPr>
              <w:t>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行動載具不支援非適性化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SCORM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FLASH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等格式課程</w:t>
            </w:r>
            <w:r>
              <w:rPr>
                <w:rFonts w:ascii="標楷體" w:eastAsia="標楷體" w:hAnsi="標楷體" w:cs="新細明體, PMingLiU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等文字。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參酌微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發展趨勢，修正微學習課程單元長度，以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分鐘為原則。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ind w:left="420" w:hanging="4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「行政院及所屬各機關（構）辦理數位學習成果評量實施原則」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業於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107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31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日停止適用，爰予修正。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未修正。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未修正。</w:t>
            </w: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4F30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未修正。</w:t>
            </w:r>
          </w:p>
        </w:tc>
      </w:tr>
      <w:tr w:rsidR="004F30D5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4F30D5">
            <w:pPr>
              <w:pStyle w:val="Standard"/>
              <w:snapToGrid w:val="0"/>
              <w:spacing w:line="400" w:lineRule="exact"/>
              <w:ind w:left="434" w:hanging="434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ind w:left="521" w:hanging="521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客服電話，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02-6608-0898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；客服信箱：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e-learning@hrd.gov.tw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0D5" w:rsidRDefault="00EA5BAD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客服電話及信箱已列於平臺首頁，爰予刪除。</w:t>
            </w:r>
          </w:p>
        </w:tc>
      </w:tr>
    </w:tbl>
    <w:p w:rsidR="004F30D5" w:rsidRDefault="004F30D5">
      <w:pPr>
        <w:pStyle w:val="Standard"/>
        <w:spacing w:line="500" w:lineRule="exact"/>
        <w:jc w:val="both"/>
      </w:pPr>
    </w:p>
    <w:sectPr w:rsidR="004F30D5">
      <w:footerReference w:type="default" r:id="rId8"/>
      <w:pgSz w:w="11906" w:h="16838"/>
      <w:pgMar w:top="1440" w:right="1020" w:bottom="1440" w:left="10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AD" w:rsidRDefault="00EA5BAD">
      <w:pPr>
        <w:rPr>
          <w:rFonts w:hint="eastAsia"/>
        </w:rPr>
      </w:pPr>
      <w:r>
        <w:separator/>
      </w:r>
    </w:p>
  </w:endnote>
  <w:endnote w:type="continuationSeparator" w:id="0">
    <w:p w:rsidR="00EA5BAD" w:rsidRDefault="00EA5B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, 'Liberation Mono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4B" w:rsidRDefault="00EA5BAD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CB5FE2">
      <w:rPr>
        <w:noProof/>
      </w:rPr>
      <w:t>1</w:t>
    </w:r>
    <w:r>
      <w:fldChar w:fldCharType="end"/>
    </w:r>
  </w:p>
  <w:p w:rsidR="00F8404B" w:rsidRDefault="00EA5B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AD" w:rsidRDefault="00EA5B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A5BAD" w:rsidRDefault="00EA5B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348"/>
    <w:multiLevelType w:val="multilevel"/>
    <w:tmpl w:val="27122DD4"/>
    <w:styleLink w:val="WW8Num1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3D4135"/>
    <w:multiLevelType w:val="multilevel"/>
    <w:tmpl w:val="97BCB68A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242458C"/>
    <w:multiLevelType w:val="multilevel"/>
    <w:tmpl w:val="9F085F56"/>
    <w:styleLink w:val="WW8Num4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70140BC"/>
    <w:multiLevelType w:val="multilevel"/>
    <w:tmpl w:val="78D60F52"/>
    <w:styleLink w:val="WW8Num2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30D5"/>
    <w:rsid w:val="004F30D5"/>
    <w:rsid w:val="00CB5FE2"/>
    <w:rsid w:val="00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, 'Liberation Mono'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, 'Liberation Mono'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, 'Liberation Mono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Liberation Mono'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Revision"/>
    <w:pPr>
      <w:widowControl/>
    </w:pPr>
    <w:rPr>
      <w:rFonts w:ascii="Calibri" w:eastAsia="新細明體, PMingLiU" w:hAnsi="Calibri" w:cs="Calibri"/>
      <w:szCs w:val="22"/>
      <w:lang w:bidi="ar-SA"/>
    </w:rPr>
  </w:style>
  <w:style w:type="paragraph" w:styleId="ab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  <w:rPr>
      <w:rFonts w:ascii="Times New Roman" w:eastAsia="標楷體" w:hAnsi="Times New Roman" w:cs="Times New Roman"/>
      <w:szCs w:val="24"/>
    </w:rPr>
  </w:style>
  <w:style w:type="character" w:customStyle="1" w:styleId="WW8Num2z0">
    <w:name w:val="WW8Num2z0"/>
    <w:rPr>
      <w:rFonts w:ascii="Times New Roman" w:eastAsia="標楷體" w:hAnsi="Times New Roman" w:cs="Times New Roman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Arial" w:hAnsi="Arial" w:cs="Arial"/>
    </w:rPr>
  </w:style>
  <w:style w:type="character" w:customStyle="1" w:styleId="WW8Num7z0">
    <w:name w:val="WW8Num7z0"/>
    <w:rPr>
      <w:rFonts w:ascii="Times New Roman" w:eastAsia="標楷體" w:hAnsi="Times New Roman" w:cs="Times New Roman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-">
    <w:name w:val="WW-預設段落字型"/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, 'Liberation Mono'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, 'Liberation Mono'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, 'Liberation Mono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Liberation Mono'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Revision"/>
    <w:pPr>
      <w:widowControl/>
    </w:pPr>
    <w:rPr>
      <w:rFonts w:ascii="Calibri" w:eastAsia="新細明體, PMingLiU" w:hAnsi="Calibri" w:cs="Calibri"/>
      <w:szCs w:val="22"/>
      <w:lang w:bidi="ar-SA"/>
    </w:rPr>
  </w:style>
  <w:style w:type="paragraph" w:styleId="ab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  <w:rPr>
      <w:rFonts w:ascii="Times New Roman" w:eastAsia="標楷體" w:hAnsi="Times New Roman" w:cs="Times New Roman"/>
      <w:szCs w:val="24"/>
    </w:rPr>
  </w:style>
  <w:style w:type="character" w:customStyle="1" w:styleId="WW8Num2z0">
    <w:name w:val="WW8Num2z0"/>
    <w:rPr>
      <w:rFonts w:ascii="Times New Roman" w:eastAsia="標楷體" w:hAnsi="Times New Roman" w:cs="Times New Roman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Arial" w:hAnsi="Arial" w:cs="Arial"/>
    </w:rPr>
  </w:style>
  <w:style w:type="character" w:customStyle="1" w:styleId="WW8Num7z0">
    <w:name w:val="WW8Num7z0"/>
    <w:rPr>
      <w:rFonts w:ascii="Times New Roman" w:eastAsia="標楷體" w:hAnsi="Times New Roman" w:cs="Times New Roman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-">
    <w:name w:val="WW-預設段落字型"/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e等公務園_數位教材規範</dc:title>
  <dc:creator>WEN</dc:creator>
  <cp:lastModifiedBy>user</cp:lastModifiedBy>
  <cp:revision>1</cp:revision>
  <cp:lastPrinted>2019-12-03T08:48:00Z</cp:lastPrinted>
  <dcterms:created xsi:type="dcterms:W3CDTF">2017-03-29T09:13:00Z</dcterms:created>
  <dcterms:modified xsi:type="dcterms:W3CDTF">2019-12-16T07:00:00Z</dcterms:modified>
</cp:coreProperties>
</file>