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51A" w:rsidRDefault="002008F7">
      <w:pPr>
        <w:pStyle w:val="Standard"/>
      </w:pPr>
      <w:bookmarkStart w:id="0" w:name="_GoBack"/>
      <w:r>
        <w:rPr>
          <w:rFonts w:ascii="標楷體" w:eastAsia="標楷體" w:hAnsi="標楷體" w:cs="Times New Roman"/>
          <w:sz w:val="40"/>
          <w:szCs w:val="40"/>
        </w:rPr>
        <w:t>行政院及所屬各級機關精簡人員優惠退離辦法部分條文</w:t>
      </w:r>
      <w:r>
        <w:rPr>
          <w:rFonts w:ascii="標楷體" w:eastAsia="標楷體" w:hAnsi="標楷體" w:cs="Times New Roman"/>
          <w:sz w:val="40"/>
          <w:szCs w:val="40"/>
          <w:lang w:eastAsia="zh-HK"/>
        </w:rPr>
        <w:t>修正條文</w:t>
      </w:r>
    </w:p>
    <w:bookmarkEnd w:id="0"/>
    <w:p w:rsidR="00C5151A" w:rsidRDefault="00C5151A">
      <w:pPr>
        <w:pStyle w:val="Standard"/>
        <w:rPr>
          <w:rFonts w:ascii="標楷體" w:eastAsia="標楷體" w:hAnsi="標楷體" w:cs="Times New Roman"/>
          <w:b/>
        </w:rPr>
      </w:pPr>
    </w:p>
    <w:tbl>
      <w:tblPr>
        <w:tblW w:w="8846" w:type="dxa"/>
        <w:tblInd w:w="-108" w:type="dxa"/>
        <w:tblLayout w:type="fixed"/>
        <w:tblCellMar>
          <w:left w:w="10" w:type="dxa"/>
          <w:right w:w="10" w:type="dxa"/>
        </w:tblCellMar>
        <w:tblLook w:val="0000" w:firstRow="0" w:lastRow="0" w:firstColumn="0" w:lastColumn="0" w:noHBand="0" w:noVBand="0"/>
      </w:tblPr>
      <w:tblGrid>
        <w:gridCol w:w="1356"/>
        <w:gridCol w:w="7490"/>
      </w:tblGrid>
      <w:tr w:rsidR="00C5151A">
        <w:tblPrEx>
          <w:tblCellMar>
            <w:top w:w="0" w:type="dxa"/>
            <w:bottom w:w="0" w:type="dxa"/>
          </w:tblCellMar>
        </w:tblPrEx>
        <w:tc>
          <w:tcPr>
            <w:tcW w:w="1356" w:type="dxa"/>
            <w:tcMar>
              <w:top w:w="0" w:type="dxa"/>
              <w:left w:w="108" w:type="dxa"/>
              <w:bottom w:w="0" w:type="dxa"/>
              <w:right w:w="108" w:type="dxa"/>
            </w:tcMar>
          </w:tcPr>
          <w:p w:rsidR="00C5151A" w:rsidRDefault="002008F7">
            <w:pPr>
              <w:pStyle w:val="Standard"/>
              <w:spacing w:line="460" w:lineRule="exact"/>
            </w:pPr>
            <w:r>
              <w:rPr>
                <w:rFonts w:ascii="標楷體" w:eastAsia="標楷體" w:hAnsi="標楷體" w:cs="標楷體"/>
                <w:spacing w:val="-14"/>
                <w:kern w:val="0"/>
                <w:sz w:val="32"/>
                <w:szCs w:val="32"/>
              </w:rPr>
              <w:t>第二條</w:t>
            </w:r>
          </w:p>
        </w:tc>
        <w:tc>
          <w:tcPr>
            <w:tcW w:w="7490" w:type="dxa"/>
            <w:tcMar>
              <w:top w:w="0" w:type="dxa"/>
              <w:left w:w="108" w:type="dxa"/>
              <w:bottom w:w="0" w:type="dxa"/>
              <w:right w:w="108" w:type="dxa"/>
            </w:tcMar>
          </w:tcPr>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本辦法所稱再任有給職務，指再任公務人員退休資遣撫卹法第七十七條第一項各款所列職務之一且每月支領薪酬總額超過法定基本工資。</w:t>
            </w:r>
          </w:p>
        </w:tc>
      </w:tr>
      <w:tr w:rsidR="00C5151A">
        <w:tblPrEx>
          <w:tblCellMar>
            <w:top w:w="0" w:type="dxa"/>
            <w:bottom w:w="0" w:type="dxa"/>
          </w:tblCellMar>
        </w:tblPrEx>
        <w:tc>
          <w:tcPr>
            <w:tcW w:w="1356" w:type="dxa"/>
            <w:tcMar>
              <w:top w:w="0" w:type="dxa"/>
              <w:left w:w="108" w:type="dxa"/>
              <w:bottom w:w="0" w:type="dxa"/>
              <w:right w:w="108" w:type="dxa"/>
            </w:tcMar>
          </w:tcPr>
          <w:p w:rsidR="00C5151A" w:rsidRDefault="002008F7">
            <w:pPr>
              <w:pStyle w:val="Standard"/>
              <w:spacing w:line="460" w:lineRule="exact"/>
            </w:pPr>
            <w:r>
              <w:rPr>
                <w:rFonts w:ascii="標楷體" w:eastAsia="標楷體" w:hAnsi="標楷體" w:cs="標楷體"/>
                <w:spacing w:val="-14"/>
                <w:kern w:val="0"/>
                <w:sz w:val="32"/>
                <w:szCs w:val="32"/>
              </w:rPr>
              <w:t>第</w:t>
            </w:r>
            <w:r>
              <w:rPr>
                <w:rFonts w:ascii="標楷體" w:eastAsia="標楷體" w:hAnsi="標楷體" w:cs="標楷體"/>
                <w:spacing w:val="-14"/>
                <w:kern w:val="0"/>
                <w:sz w:val="32"/>
                <w:szCs w:val="32"/>
                <w:lang w:eastAsia="zh-HK"/>
              </w:rPr>
              <w:t>五</w:t>
            </w:r>
            <w:r>
              <w:rPr>
                <w:rFonts w:ascii="標楷體" w:eastAsia="標楷體" w:hAnsi="標楷體" w:cs="標楷體"/>
                <w:spacing w:val="-14"/>
                <w:kern w:val="0"/>
                <w:sz w:val="32"/>
                <w:szCs w:val="32"/>
              </w:rPr>
              <w:t>條</w:t>
            </w:r>
          </w:p>
        </w:tc>
        <w:tc>
          <w:tcPr>
            <w:tcW w:w="7490" w:type="dxa"/>
            <w:tcMar>
              <w:top w:w="0" w:type="dxa"/>
              <w:left w:w="108" w:type="dxa"/>
              <w:bottom w:w="0" w:type="dxa"/>
              <w:right w:w="108" w:type="dxa"/>
            </w:tcMar>
          </w:tcPr>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依法辦理退休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或資遣，並依其適用之退休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、資遣法令規定基準，給付退休金、資遣給與之任用</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派用、聘任</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人員及雇員，除屆齡退休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者外，一次加發七個月之俸</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薪</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給總額慰助金，並自優惠退離期間起始日起，每延後一個月退休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或資遣者，減發一個月俸</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薪</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給總額之慰助金。</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即將屆齡退休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人員已達屆齡退休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生效至遲日前七個月者，其加發之慰助金，依提前退休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之月數發給；其提前月數之計算，指依公務人員退休資遣撫卹法第十九條所定之至遲退休生效日往前逆算，每提前一個月退休者，加發一個月俸給總額之慰助金。</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前二項支領加發慰助金人員，於退休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、資遣生效之日起七個月內再任有給職務者，應由再任機關</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構</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、學校追繳七個月內再任月數之俸</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薪</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給總額慰助金，其再任日數不足一個月者，以一個月計算；逾一個月以上者，畸零日數不計。並繳回原服務機關、改隸機關或上級主管機關。</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前三項所稱俸</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薪</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給總額慰助金，指退休</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、資遣當月所支俸</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薪</w:t>
            </w:r>
            <w:r>
              <w:rPr>
                <w:rFonts w:ascii="標楷體" w:eastAsia="標楷體" w:hAnsi="標楷體" w:cs="標楷體"/>
                <w:spacing w:val="-14"/>
                <w:kern w:val="0"/>
                <w:sz w:val="32"/>
                <w:szCs w:val="32"/>
              </w:rPr>
              <w:t>)</w:t>
            </w:r>
            <w:r>
              <w:rPr>
                <w:rFonts w:ascii="標楷體" w:eastAsia="標楷體" w:hAnsi="標楷體" w:cs="標楷體"/>
                <w:spacing w:val="-14"/>
                <w:kern w:val="0"/>
                <w:sz w:val="32"/>
                <w:szCs w:val="32"/>
              </w:rPr>
              <w:t>額、技術或專業加給及主管職務加給之合計數。</w:t>
            </w:r>
          </w:p>
        </w:tc>
      </w:tr>
      <w:tr w:rsidR="00C5151A">
        <w:tblPrEx>
          <w:tblCellMar>
            <w:top w:w="0" w:type="dxa"/>
            <w:bottom w:w="0" w:type="dxa"/>
          </w:tblCellMar>
        </w:tblPrEx>
        <w:tc>
          <w:tcPr>
            <w:tcW w:w="1356" w:type="dxa"/>
            <w:tcMar>
              <w:top w:w="0" w:type="dxa"/>
              <w:left w:w="108" w:type="dxa"/>
              <w:bottom w:w="0" w:type="dxa"/>
              <w:right w:w="108" w:type="dxa"/>
            </w:tcMar>
          </w:tcPr>
          <w:p w:rsidR="00C5151A" w:rsidRDefault="002008F7">
            <w:pPr>
              <w:pStyle w:val="Standard"/>
              <w:spacing w:line="460" w:lineRule="exact"/>
            </w:pPr>
            <w:r>
              <w:rPr>
                <w:rFonts w:ascii="標楷體" w:eastAsia="標楷體" w:hAnsi="標楷體" w:cs="標楷體"/>
                <w:spacing w:val="-14"/>
                <w:kern w:val="0"/>
                <w:sz w:val="32"/>
                <w:szCs w:val="32"/>
              </w:rPr>
              <w:t>第</w:t>
            </w:r>
            <w:r>
              <w:rPr>
                <w:rFonts w:ascii="標楷體" w:eastAsia="標楷體" w:hAnsi="標楷體" w:cs="標楷體"/>
                <w:spacing w:val="-14"/>
                <w:kern w:val="0"/>
                <w:sz w:val="32"/>
                <w:szCs w:val="32"/>
                <w:lang w:eastAsia="zh-HK"/>
              </w:rPr>
              <w:t>六</w:t>
            </w:r>
            <w:r>
              <w:rPr>
                <w:rFonts w:ascii="標楷體" w:eastAsia="標楷體" w:hAnsi="標楷體" w:cs="標楷體"/>
                <w:spacing w:val="-14"/>
                <w:kern w:val="0"/>
                <w:sz w:val="32"/>
                <w:szCs w:val="32"/>
              </w:rPr>
              <w:t>條</w:t>
            </w:r>
          </w:p>
        </w:tc>
        <w:tc>
          <w:tcPr>
            <w:tcW w:w="7490" w:type="dxa"/>
            <w:tcMar>
              <w:top w:w="0" w:type="dxa"/>
              <w:left w:w="108" w:type="dxa"/>
              <w:bottom w:w="0" w:type="dxa"/>
              <w:right w:w="108" w:type="dxa"/>
            </w:tcMar>
          </w:tcPr>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聘僱人員依各機關學校聘僱人員離職給與辦法規定辦理，並一次加發七個月之月支報酬，並自優惠退離期間起始日起，每延後一個月離職者，減發一個月之月支報酬。但契約期滿日在辦理優惠退離期間內者，其加發</w:t>
            </w:r>
            <w:r>
              <w:rPr>
                <w:rFonts w:ascii="標楷體" w:eastAsia="標楷體" w:hAnsi="標楷體" w:cs="標楷體"/>
                <w:spacing w:val="-14"/>
                <w:kern w:val="0"/>
                <w:sz w:val="32"/>
                <w:szCs w:val="32"/>
              </w:rPr>
              <w:lastRenderedPageBreak/>
              <w:t>之月支報酬，依提前離職之月數發給。</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前項支領加發月支報酬人員，於離職日起七個月內再任有給職務者，應由再任機關（構）、學校追繳七個月內再任月數之月支報酬，其再任日數不足一個月者，以一個月計算，並繳回原服務機關、改隸機關或上級主管機關。</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原依行政院暨所屬機關約僱人員僱用辦法約僱之人員，其適用勞動基準法者，不適用第一項</w:t>
            </w:r>
            <w:r>
              <w:rPr>
                <w:rFonts w:ascii="標楷體" w:eastAsia="標楷體" w:hAnsi="標楷體" w:cs="標楷體"/>
                <w:spacing w:val="-14"/>
                <w:kern w:val="0"/>
                <w:sz w:val="32"/>
                <w:szCs w:val="32"/>
                <w:lang w:eastAsia="zh-HK"/>
              </w:rPr>
              <w:t>辦法</w:t>
            </w:r>
            <w:r>
              <w:rPr>
                <w:rFonts w:ascii="標楷體" w:eastAsia="標楷體" w:hAnsi="標楷體" w:cs="標楷體"/>
                <w:spacing w:val="-14"/>
                <w:kern w:val="0"/>
                <w:sz w:val="32"/>
                <w:szCs w:val="32"/>
              </w:rPr>
              <w:t>發給離</w:t>
            </w:r>
            <w:r>
              <w:rPr>
                <w:rFonts w:ascii="標楷體" w:eastAsia="標楷體" w:hAnsi="標楷體" w:cs="標楷體"/>
                <w:spacing w:val="-14"/>
                <w:kern w:val="0"/>
                <w:sz w:val="32"/>
                <w:szCs w:val="32"/>
              </w:rPr>
              <w:t>職</w:t>
            </w:r>
            <w:r>
              <w:rPr>
                <w:rFonts w:ascii="標楷體" w:eastAsia="標楷體" w:hAnsi="標楷體" w:cs="標楷體"/>
                <w:spacing w:val="-14"/>
                <w:kern w:val="0"/>
                <w:sz w:val="32"/>
                <w:szCs w:val="32"/>
                <w:lang w:eastAsia="zh-HK"/>
              </w:rPr>
              <w:t>給與</w:t>
            </w:r>
            <w:r>
              <w:rPr>
                <w:rFonts w:ascii="標楷體" w:eastAsia="標楷體" w:hAnsi="標楷體" w:cs="標楷體"/>
                <w:spacing w:val="-14"/>
                <w:kern w:val="0"/>
                <w:sz w:val="32"/>
                <w:szCs w:val="32"/>
              </w:rPr>
              <w:t>之規定，並依勞動基準法及勞工退休金條例相關規定發給退休金或資遣費。</w:t>
            </w:r>
          </w:p>
        </w:tc>
      </w:tr>
      <w:tr w:rsidR="00C5151A">
        <w:tblPrEx>
          <w:tblCellMar>
            <w:top w:w="0" w:type="dxa"/>
            <w:bottom w:w="0" w:type="dxa"/>
          </w:tblCellMar>
        </w:tblPrEx>
        <w:tc>
          <w:tcPr>
            <w:tcW w:w="1356" w:type="dxa"/>
            <w:tcMar>
              <w:top w:w="0" w:type="dxa"/>
              <w:left w:w="108" w:type="dxa"/>
              <w:bottom w:w="0" w:type="dxa"/>
              <w:right w:w="108" w:type="dxa"/>
            </w:tcMar>
          </w:tcPr>
          <w:p w:rsidR="00C5151A" w:rsidRDefault="002008F7">
            <w:pPr>
              <w:pStyle w:val="Standard"/>
              <w:spacing w:line="460" w:lineRule="exact"/>
            </w:pPr>
            <w:r>
              <w:rPr>
                <w:rFonts w:ascii="標楷體" w:eastAsia="標楷體" w:hAnsi="標楷體" w:cs="標楷體"/>
                <w:spacing w:val="-14"/>
                <w:kern w:val="0"/>
                <w:sz w:val="32"/>
                <w:szCs w:val="32"/>
              </w:rPr>
              <w:lastRenderedPageBreak/>
              <w:t>第</w:t>
            </w:r>
            <w:r>
              <w:rPr>
                <w:rFonts w:ascii="標楷體" w:eastAsia="標楷體" w:hAnsi="標楷體" w:cs="標楷體"/>
                <w:spacing w:val="-14"/>
                <w:kern w:val="0"/>
                <w:sz w:val="32"/>
                <w:szCs w:val="32"/>
                <w:lang w:eastAsia="zh-HK"/>
              </w:rPr>
              <w:t>十</w:t>
            </w:r>
            <w:r>
              <w:rPr>
                <w:rFonts w:ascii="標楷體" w:eastAsia="標楷體" w:hAnsi="標楷體" w:cs="標楷體"/>
                <w:spacing w:val="-14"/>
                <w:kern w:val="0"/>
                <w:sz w:val="32"/>
                <w:szCs w:val="32"/>
              </w:rPr>
              <w:t>條</w:t>
            </w:r>
          </w:p>
        </w:tc>
        <w:tc>
          <w:tcPr>
            <w:tcW w:w="7490" w:type="dxa"/>
            <w:tcMar>
              <w:top w:w="0" w:type="dxa"/>
              <w:left w:w="108" w:type="dxa"/>
              <w:bottom w:w="0" w:type="dxa"/>
              <w:right w:w="108" w:type="dxa"/>
            </w:tcMar>
          </w:tcPr>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曾依本辦法規定支領保險年資損失補償金者，於其將來再依各該保險法令領取養老給付或老年給付時，應將原所領保險年資損失補償金繳回原補償機關或主管機關。但其所領之養老或老年給付金額較原補償金額低時，僅繳回與所領之養老或老年給付同金額之補償金。</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前項但書規定，於領取年金給付者，不適用之。</w:t>
            </w:r>
          </w:p>
          <w:p w:rsidR="00C5151A" w:rsidRDefault="002008F7">
            <w:pPr>
              <w:pStyle w:val="Standard"/>
              <w:spacing w:line="460" w:lineRule="exact"/>
              <w:ind w:left="-98" w:firstLine="584"/>
              <w:jc w:val="both"/>
            </w:pPr>
            <w:r>
              <w:rPr>
                <w:rFonts w:ascii="標楷體" w:eastAsia="標楷體" w:hAnsi="標楷體" w:cs="標楷體"/>
                <w:spacing w:val="-14"/>
                <w:kern w:val="0"/>
                <w:sz w:val="32"/>
                <w:szCs w:val="32"/>
              </w:rPr>
              <w:t>優惠退離人員不依第一項規定繳回時，補償機關或主管機關應作成書面行政處分命其返還。</w:t>
            </w:r>
          </w:p>
        </w:tc>
      </w:tr>
    </w:tbl>
    <w:p w:rsidR="00000000" w:rsidRDefault="002008F7">
      <w:pPr>
        <w:rPr>
          <w:vanish/>
        </w:rPr>
      </w:pPr>
    </w:p>
    <w:tbl>
      <w:tblPr>
        <w:tblW w:w="8846" w:type="dxa"/>
        <w:tblInd w:w="-105" w:type="dxa"/>
        <w:tblLayout w:type="fixed"/>
        <w:tblCellMar>
          <w:left w:w="10" w:type="dxa"/>
          <w:right w:w="10" w:type="dxa"/>
        </w:tblCellMar>
        <w:tblLook w:val="0000" w:firstRow="0" w:lastRow="0" w:firstColumn="0" w:lastColumn="0" w:noHBand="0" w:noVBand="0"/>
      </w:tblPr>
      <w:tblGrid>
        <w:gridCol w:w="1586"/>
        <w:gridCol w:w="7260"/>
      </w:tblGrid>
      <w:tr w:rsidR="00C5151A">
        <w:tblPrEx>
          <w:tblCellMar>
            <w:top w:w="0" w:type="dxa"/>
            <w:bottom w:w="0" w:type="dxa"/>
          </w:tblCellMar>
        </w:tblPrEx>
        <w:trPr>
          <w:trHeight w:val="528"/>
        </w:trPr>
        <w:tc>
          <w:tcPr>
            <w:tcW w:w="1586" w:type="dxa"/>
            <w:tcMar>
              <w:top w:w="0" w:type="dxa"/>
              <w:left w:w="108" w:type="dxa"/>
              <w:bottom w:w="0" w:type="dxa"/>
              <w:right w:w="108" w:type="dxa"/>
            </w:tcMar>
          </w:tcPr>
          <w:p w:rsidR="00C5151A" w:rsidRDefault="002008F7">
            <w:pPr>
              <w:pStyle w:val="Standard"/>
              <w:spacing w:line="460" w:lineRule="exact"/>
            </w:pPr>
            <w:r>
              <w:rPr>
                <w:rFonts w:ascii="標楷體" w:eastAsia="標楷體" w:hAnsi="標楷體" w:cs="標楷體"/>
                <w:spacing w:val="-14"/>
                <w:kern w:val="0"/>
                <w:sz w:val="32"/>
                <w:szCs w:val="32"/>
              </w:rPr>
              <w:t>第十</w:t>
            </w:r>
            <w:r>
              <w:rPr>
                <w:rFonts w:ascii="標楷體" w:eastAsia="標楷體" w:hAnsi="標楷體" w:cs="標楷體"/>
                <w:spacing w:val="-14"/>
                <w:kern w:val="0"/>
                <w:sz w:val="32"/>
                <w:szCs w:val="32"/>
                <w:lang w:eastAsia="zh-HK"/>
              </w:rPr>
              <w:t>三</w:t>
            </w:r>
            <w:r>
              <w:rPr>
                <w:rFonts w:ascii="標楷體" w:eastAsia="標楷體" w:hAnsi="標楷體" w:cs="標楷體"/>
                <w:spacing w:val="-14"/>
                <w:kern w:val="0"/>
                <w:sz w:val="32"/>
                <w:szCs w:val="32"/>
              </w:rPr>
              <w:t>條</w:t>
            </w:r>
          </w:p>
        </w:tc>
        <w:tc>
          <w:tcPr>
            <w:tcW w:w="7260" w:type="dxa"/>
            <w:tcMar>
              <w:top w:w="0" w:type="dxa"/>
              <w:left w:w="108" w:type="dxa"/>
              <w:bottom w:w="0" w:type="dxa"/>
              <w:right w:w="108" w:type="dxa"/>
            </w:tcMar>
          </w:tcPr>
          <w:p w:rsidR="00C5151A" w:rsidRDefault="002008F7">
            <w:pPr>
              <w:pStyle w:val="Standard"/>
              <w:spacing w:line="460" w:lineRule="exact"/>
              <w:jc w:val="both"/>
            </w:pPr>
            <w:r>
              <w:rPr>
                <w:rFonts w:ascii="標楷體" w:eastAsia="標楷體" w:hAnsi="標楷體" w:cs="標楷體"/>
                <w:spacing w:val="-14"/>
                <w:kern w:val="0"/>
                <w:sz w:val="32"/>
                <w:szCs w:val="32"/>
              </w:rPr>
              <w:t>本辦法自中華民國九十九年四月一日施行。</w:t>
            </w:r>
          </w:p>
        </w:tc>
      </w:tr>
      <w:tr w:rsidR="00C5151A">
        <w:tblPrEx>
          <w:tblCellMar>
            <w:top w:w="0" w:type="dxa"/>
            <w:bottom w:w="0" w:type="dxa"/>
          </w:tblCellMar>
        </w:tblPrEx>
        <w:trPr>
          <w:trHeight w:val="1788"/>
        </w:trPr>
        <w:tc>
          <w:tcPr>
            <w:tcW w:w="8846" w:type="dxa"/>
            <w:gridSpan w:val="2"/>
            <w:tcMar>
              <w:top w:w="0" w:type="dxa"/>
              <w:left w:w="108" w:type="dxa"/>
              <w:bottom w:w="0" w:type="dxa"/>
              <w:right w:w="108" w:type="dxa"/>
            </w:tcMar>
          </w:tcPr>
          <w:p w:rsidR="00C5151A" w:rsidRDefault="002008F7">
            <w:pPr>
              <w:pStyle w:val="Standard"/>
              <w:spacing w:line="460" w:lineRule="exact"/>
              <w:ind w:left="991" w:firstLine="566"/>
              <w:jc w:val="both"/>
            </w:pPr>
            <w:r>
              <w:rPr>
                <w:rFonts w:ascii="標楷體" w:eastAsia="標楷體" w:hAnsi="標楷體" w:cs="標楷體"/>
                <w:spacing w:val="-14"/>
                <w:kern w:val="0"/>
                <w:sz w:val="32"/>
                <w:szCs w:val="32"/>
              </w:rPr>
              <w:t>本辦法中華民國一百年三月十日修正發布條文，自一</w:t>
            </w:r>
            <w:r>
              <w:rPr>
                <w:rFonts w:ascii="標楷體" w:eastAsia="標楷體" w:hAnsi="標楷體" w:cs="標楷體"/>
                <w:spacing w:val="-14"/>
                <w:kern w:val="0"/>
                <w:sz w:val="32"/>
                <w:szCs w:val="32"/>
                <w:lang w:eastAsia="zh-HK"/>
              </w:rPr>
              <w:t>百</w:t>
            </w:r>
            <w:r>
              <w:rPr>
                <w:rFonts w:ascii="標楷體" w:eastAsia="標楷體" w:hAnsi="標楷體" w:cs="標楷體"/>
                <w:spacing w:val="-14"/>
                <w:kern w:val="0"/>
                <w:sz w:val="32"/>
                <w:szCs w:val="32"/>
              </w:rPr>
              <w:t>年一月一日施行；</w:t>
            </w:r>
            <w:r>
              <w:rPr>
                <w:rFonts w:ascii="標楷體" w:eastAsia="標楷體" w:hAnsi="標楷體" w:cs="標楷體"/>
                <w:spacing w:val="-14"/>
                <w:kern w:val="0"/>
                <w:sz w:val="32"/>
                <w:szCs w:val="32"/>
                <w:lang w:eastAsia="zh-HK"/>
              </w:rPr>
              <w:t>一百零七</w:t>
            </w:r>
            <w:r>
              <w:rPr>
                <w:rFonts w:ascii="標楷體" w:eastAsia="標楷體" w:hAnsi="標楷體" w:cs="標楷體"/>
                <w:spacing w:val="-14"/>
                <w:kern w:val="0"/>
                <w:sz w:val="32"/>
                <w:szCs w:val="32"/>
              </w:rPr>
              <w:t>年</w:t>
            </w:r>
            <w:r>
              <w:rPr>
                <w:rFonts w:ascii="標楷體" w:eastAsia="標楷體" w:hAnsi="標楷體" w:cs="標楷體"/>
                <w:spacing w:val="-14"/>
                <w:kern w:val="0"/>
                <w:sz w:val="32"/>
                <w:szCs w:val="32"/>
                <w:lang w:eastAsia="zh-HK"/>
              </w:rPr>
              <w:t>十一</w:t>
            </w:r>
            <w:r>
              <w:rPr>
                <w:rFonts w:ascii="標楷體" w:eastAsia="標楷體" w:hAnsi="標楷體" w:cs="標楷體"/>
                <w:spacing w:val="-14"/>
                <w:kern w:val="0"/>
                <w:sz w:val="32"/>
                <w:szCs w:val="32"/>
              </w:rPr>
              <w:t>月</w:t>
            </w:r>
            <w:r>
              <w:rPr>
                <w:rFonts w:ascii="標楷體" w:eastAsia="標楷體" w:hAnsi="標楷體" w:cs="標楷體"/>
                <w:spacing w:val="-14"/>
                <w:kern w:val="0"/>
                <w:sz w:val="32"/>
                <w:szCs w:val="32"/>
                <w:lang w:eastAsia="zh-HK"/>
              </w:rPr>
              <w:t>十九</w:t>
            </w:r>
            <w:r>
              <w:rPr>
                <w:rFonts w:ascii="標楷體" w:eastAsia="標楷體" w:hAnsi="標楷體" w:cs="標楷體"/>
                <w:spacing w:val="-14"/>
                <w:kern w:val="0"/>
                <w:sz w:val="32"/>
                <w:szCs w:val="32"/>
              </w:rPr>
              <w:t>日修正發布條文，自一百零七年七月一日施行。</w:t>
            </w:r>
          </w:p>
        </w:tc>
      </w:tr>
    </w:tbl>
    <w:p w:rsidR="00C5151A" w:rsidRDefault="00C5151A">
      <w:pPr>
        <w:pStyle w:val="Standard"/>
      </w:pPr>
    </w:p>
    <w:sectPr w:rsidR="00C5151A">
      <w:footerReference w:type="default" r:id="rId8"/>
      <w:pgSz w:w="11906" w:h="16838"/>
      <w:pgMar w:top="1418" w:right="1418" w:bottom="1418" w:left="170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F7" w:rsidRDefault="002008F7">
      <w:r>
        <w:separator/>
      </w:r>
    </w:p>
  </w:endnote>
  <w:endnote w:type="continuationSeparator" w:id="0">
    <w:p w:rsidR="002008F7" w:rsidRDefault="0020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A6" w:rsidRDefault="002008F7">
    <w:pPr>
      <w:pStyle w:val="a7"/>
      <w:jc w:val="center"/>
    </w:pPr>
    <w:r>
      <w:fldChar w:fldCharType="begin"/>
    </w:r>
    <w:r>
      <w:instrText xml:space="preserve"> PAGE </w:instrText>
    </w:r>
    <w:r>
      <w:fldChar w:fldCharType="separate"/>
    </w:r>
    <w:r w:rsidR="00897281">
      <w:rPr>
        <w:noProof/>
      </w:rPr>
      <w:t>2</w:t>
    </w:r>
    <w:r>
      <w:fldChar w:fldCharType="end"/>
    </w:r>
  </w:p>
  <w:p w:rsidR="002F39A6" w:rsidRDefault="002008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F7" w:rsidRDefault="002008F7">
      <w:r>
        <w:rPr>
          <w:color w:val="000000"/>
        </w:rPr>
        <w:separator/>
      </w:r>
    </w:p>
  </w:footnote>
  <w:footnote w:type="continuationSeparator" w:id="0">
    <w:p w:rsidR="002008F7" w:rsidRDefault="00200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ABD"/>
    <w:multiLevelType w:val="multilevel"/>
    <w:tmpl w:val="5636CB46"/>
    <w:styleLink w:val="WWNum4"/>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092D3EA0"/>
    <w:multiLevelType w:val="multilevel"/>
    <w:tmpl w:val="733E96C4"/>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0C1B1B27"/>
    <w:multiLevelType w:val="multilevel"/>
    <w:tmpl w:val="B79694DE"/>
    <w:styleLink w:val="WWNum1"/>
    <w:lvl w:ilvl="0">
      <w:start w:val="1"/>
      <w:numFmt w:val="japaneseCounting"/>
      <w:lvlText w:val="%1、"/>
      <w:lvlJc w:val="left"/>
      <w:rPr>
        <w:b w:val="0"/>
        <w:i w:val="0"/>
        <w:color w:val="000000"/>
        <w:u w:val="none"/>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0553704"/>
    <w:multiLevelType w:val="multilevel"/>
    <w:tmpl w:val="A8AEC730"/>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162A786D"/>
    <w:multiLevelType w:val="multilevel"/>
    <w:tmpl w:val="5D04B7E6"/>
    <w:styleLink w:val="WWNum12"/>
    <w:lvl w:ilvl="0">
      <w:start w:val="1"/>
      <w:numFmt w:val="japaneseCounting"/>
      <w:lvlText w:val="%1、"/>
      <w:lvlJc w:val="center"/>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1DA61A4C"/>
    <w:multiLevelType w:val="multilevel"/>
    <w:tmpl w:val="2B3615C2"/>
    <w:styleLink w:val="WWNum24"/>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5474C01"/>
    <w:multiLevelType w:val="multilevel"/>
    <w:tmpl w:val="F8BA8F1C"/>
    <w:styleLink w:val="WWNum18"/>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B580F65"/>
    <w:multiLevelType w:val="multilevel"/>
    <w:tmpl w:val="A25E6F84"/>
    <w:styleLink w:val="WWNum2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29E0BB7"/>
    <w:multiLevelType w:val="multilevel"/>
    <w:tmpl w:val="3790DBF8"/>
    <w:styleLink w:val="WWNum17"/>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4044B7B"/>
    <w:multiLevelType w:val="multilevel"/>
    <w:tmpl w:val="EBA00010"/>
    <w:styleLink w:val="WWNum15"/>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B8479C6"/>
    <w:multiLevelType w:val="multilevel"/>
    <w:tmpl w:val="CDC0C74A"/>
    <w:styleLink w:val="WWNum7"/>
    <w:lvl w:ilvl="0">
      <w:start w:val="1"/>
      <w:numFmt w:val="japaneseCounting"/>
      <w:lvlText w:val="（%1）"/>
      <w:lvlJc w:val="center"/>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C84412F"/>
    <w:multiLevelType w:val="multilevel"/>
    <w:tmpl w:val="EA9851A8"/>
    <w:styleLink w:val="WWNum11"/>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3D0A6D6A"/>
    <w:multiLevelType w:val="multilevel"/>
    <w:tmpl w:val="7CAE9000"/>
    <w:styleLink w:val="WWNum1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3D5A6674"/>
    <w:multiLevelType w:val="multilevel"/>
    <w:tmpl w:val="984C3DB0"/>
    <w:styleLink w:val="WWNum3"/>
    <w:lvl w:ilvl="0">
      <w:start w:val="1"/>
      <w:numFmt w:val="japaneseCounting"/>
      <w:lvlText w:val="（%1）"/>
      <w:lvlJc w:val="center"/>
      <w:rPr>
        <w:color w:val="000000"/>
      </w:rPr>
    </w:lvl>
    <w:lvl w:ilvl="1">
      <w:start w:val="1"/>
      <w:numFmt w:val="japaneseCounting"/>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81E5C20"/>
    <w:multiLevelType w:val="multilevel"/>
    <w:tmpl w:val="09EE2BC0"/>
    <w:styleLink w:val="WWNum2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49D4144A"/>
    <w:multiLevelType w:val="multilevel"/>
    <w:tmpl w:val="370C495A"/>
    <w:styleLink w:val="WWNum19"/>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A166BA4"/>
    <w:multiLevelType w:val="multilevel"/>
    <w:tmpl w:val="8F6EE6F4"/>
    <w:styleLink w:val="WWNum9"/>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4B9C72C0"/>
    <w:multiLevelType w:val="multilevel"/>
    <w:tmpl w:val="15CEC1AC"/>
    <w:styleLink w:val="WWNum2"/>
    <w:lvl w:ilvl="0">
      <w:start w:val="1"/>
      <w:numFmt w:val="japaneseCounting"/>
      <w:lvlText w:val="%1、"/>
      <w:lvlJc w:val="center"/>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589F0CB1"/>
    <w:multiLevelType w:val="multilevel"/>
    <w:tmpl w:val="0DDCF6C4"/>
    <w:styleLink w:val="WWNum10"/>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5AF11E82"/>
    <w:multiLevelType w:val="multilevel"/>
    <w:tmpl w:val="4A921964"/>
    <w:styleLink w:val="WWNum16"/>
    <w:lvl w:ilvl="0">
      <w:start w:val="1"/>
      <w:numFmt w:val="japaneseCounting"/>
      <w:lvlText w:val="%1、"/>
      <w:lvlJc w:val="left"/>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5EB5057D"/>
    <w:multiLevelType w:val="multilevel"/>
    <w:tmpl w:val="95AC6668"/>
    <w:styleLink w:val="WWNum5"/>
    <w:lvl w:ilvl="0">
      <w:start w:val="1"/>
      <w:numFmt w:val="japaneseCounting"/>
      <w:lvlText w:val="（%1）"/>
      <w:lvlJc w:val="center"/>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1">
    <w:nsid w:val="6A923ED9"/>
    <w:multiLevelType w:val="multilevel"/>
    <w:tmpl w:val="75D28EA0"/>
    <w:styleLink w:val="WWNum2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6E713904"/>
    <w:multiLevelType w:val="multilevel"/>
    <w:tmpl w:val="12024214"/>
    <w:styleLink w:val="WWNum14"/>
    <w:lvl w:ilvl="0">
      <w:start w:val="1"/>
      <w:numFmt w:val="japaneseCounting"/>
      <w:lvlText w:val="%1、"/>
      <w:lvlJc w:val="center"/>
      <w:rPr>
        <w:color w:val="000000"/>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1884B7B"/>
    <w:multiLevelType w:val="multilevel"/>
    <w:tmpl w:val="DA86EBC6"/>
    <w:styleLink w:val="WWNum8"/>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4">
    <w:nsid w:val="7D7D75DC"/>
    <w:multiLevelType w:val="multilevel"/>
    <w:tmpl w:val="8774E6AE"/>
    <w:styleLink w:val="WWNum23"/>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3"/>
  </w:num>
  <w:num w:numId="2">
    <w:abstractNumId w:val="2"/>
  </w:num>
  <w:num w:numId="3">
    <w:abstractNumId w:val="17"/>
  </w:num>
  <w:num w:numId="4">
    <w:abstractNumId w:val="13"/>
  </w:num>
  <w:num w:numId="5">
    <w:abstractNumId w:val="0"/>
  </w:num>
  <w:num w:numId="6">
    <w:abstractNumId w:val="20"/>
  </w:num>
  <w:num w:numId="7">
    <w:abstractNumId w:val="1"/>
  </w:num>
  <w:num w:numId="8">
    <w:abstractNumId w:val="10"/>
  </w:num>
  <w:num w:numId="9">
    <w:abstractNumId w:val="23"/>
  </w:num>
  <w:num w:numId="10">
    <w:abstractNumId w:val="16"/>
  </w:num>
  <w:num w:numId="11">
    <w:abstractNumId w:val="18"/>
  </w:num>
  <w:num w:numId="12">
    <w:abstractNumId w:val="11"/>
  </w:num>
  <w:num w:numId="13">
    <w:abstractNumId w:val="4"/>
  </w:num>
  <w:num w:numId="14">
    <w:abstractNumId w:val="12"/>
  </w:num>
  <w:num w:numId="15">
    <w:abstractNumId w:val="22"/>
  </w:num>
  <w:num w:numId="16">
    <w:abstractNumId w:val="9"/>
  </w:num>
  <w:num w:numId="17">
    <w:abstractNumId w:val="19"/>
  </w:num>
  <w:num w:numId="18">
    <w:abstractNumId w:val="8"/>
  </w:num>
  <w:num w:numId="19">
    <w:abstractNumId w:val="6"/>
  </w:num>
  <w:num w:numId="20">
    <w:abstractNumId w:val="15"/>
  </w:num>
  <w:num w:numId="21">
    <w:abstractNumId w:val="7"/>
  </w:num>
  <w:num w:numId="22">
    <w:abstractNumId w:val="14"/>
  </w:num>
  <w:num w:numId="23">
    <w:abstractNumId w:val="21"/>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151A"/>
    <w:rsid w:val="002008F7"/>
    <w:rsid w:val="00897281"/>
    <w:rsid w:val="00C51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Calibri"/>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character" w:customStyle="1" w:styleId="a9">
    <w:name w:val="頁首 字元"/>
    <w:basedOn w:val="a0"/>
    <w:rPr>
      <w:rFonts w:ascii="Calibri" w:eastAsia="新細明體" w:hAnsi="Calibri" w:cs="Calibri"/>
      <w:sz w:val="20"/>
      <w:szCs w:val="20"/>
    </w:rPr>
  </w:style>
  <w:style w:type="character" w:customStyle="1" w:styleId="aa">
    <w:name w:val="頁尾 字元"/>
    <w:basedOn w:val="a0"/>
    <w:rPr>
      <w:rFonts w:ascii="Calibri" w:eastAsia="新細明體" w:hAnsi="Calibri" w:cs="Calibri"/>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b w:val="0"/>
      <w:i w:val="0"/>
      <w:color w:val="000000"/>
      <w:u w:val="none"/>
      <w:lang w:val="en-US"/>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color w:val="000000"/>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cs="Calibri"/>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cs="F"/>
      <w:sz w:val="18"/>
      <w:szCs w:val="18"/>
    </w:rPr>
  </w:style>
  <w:style w:type="character" w:customStyle="1" w:styleId="a9">
    <w:name w:val="頁首 字元"/>
    <w:basedOn w:val="a0"/>
    <w:rPr>
      <w:rFonts w:ascii="Calibri" w:eastAsia="新細明體" w:hAnsi="Calibri" w:cs="Calibri"/>
      <w:sz w:val="20"/>
      <w:szCs w:val="20"/>
    </w:rPr>
  </w:style>
  <w:style w:type="character" w:customStyle="1" w:styleId="aa">
    <w:name w:val="頁尾 字元"/>
    <w:basedOn w:val="a0"/>
    <w:rPr>
      <w:rFonts w:ascii="Calibri" w:eastAsia="新細明體" w:hAnsi="Calibri" w:cs="Calibri"/>
      <w:sz w:val="20"/>
      <w:szCs w:val="20"/>
    </w:rPr>
  </w:style>
  <w:style w:type="character" w:customStyle="1" w:styleId="ab">
    <w:name w:val="註解方塊文字 字元"/>
    <w:basedOn w:val="a0"/>
    <w:rPr>
      <w:rFonts w:ascii="Calibri Light" w:eastAsia="新細明體" w:hAnsi="Calibri Light" w:cs="F"/>
      <w:sz w:val="18"/>
      <w:szCs w:val="18"/>
    </w:rPr>
  </w:style>
  <w:style w:type="character" w:customStyle="1" w:styleId="ListLabel1">
    <w:name w:val="ListLabel 1"/>
    <w:rPr>
      <w:b w:val="0"/>
      <w:i w:val="0"/>
      <w:color w:val="000000"/>
      <w:u w:val="none"/>
      <w:lang w:val="en-US"/>
    </w:rPr>
  </w:style>
  <w:style w:type="character" w:customStyle="1" w:styleId="ListLabel2">
    <w:name w:val="ListLabel 2"/>
    <w:rPr>
      <w:color w:val="000000"/>
    </w:rPr>
  </w:style>
  <w:style w:type="character" w:customStyle="1" w:styleId="ListLabel3">
    <w:name w:val="ListLabel 3"/>
    <w:rPr>
      <w:color w:val="000000"/>
    </w:rPr>
  </w:style>
  <w:style w:type="character" w:customStyle="1" w:styleId="ListLabel4">
    <w:name w:val="ListLabel 4"/>
    <w:rPr>
      <w:color w:val="000000"/>
    </w:rPr>
  </w:style>
  <w:style w:type="character" w:customStyle="1" w:styleId="ListLabel5">
    <w:name w:val="ListLabel 5"/>
    <w:rPr>
      <w:color w:val="000000"/>
    </w:rPr>
  </w:style>
  <w:style w:type="character" w:customStyle="1" w:styleId="ListLabel6">
    <w:name w:val="ListLabel 6"/>
    <w:rPr>
      <w:color w:val="000000"/>
    </w:rPr>
  </w:style>
  <w:style w:type="character" w:customStyle="1" w:styleId="ListLabel7">
    <w:name w:val="ListLabel 7"/>
    <w:rPr>
      <w:color w:val="000000"/>
    </w:rPr>
  </w:style>
  <w:style w:type="character" w:customStyle="1" w:styleId="ListLabel8">
    <w:name w:val="ListLabel 8"/>
    <w:rPr>
      <w:color w:val="000000"/>
    </w:rPr>
  </w:style>
  <w:style w:type="character" w:customStyle="1" w:styleId="ListLabel9">
    <w:name w:val="ListLabel 9"/>
    <w:rPr>
      <w:color w:val="000000"/>
    </w:rPr>
  </w:style>
  <w:style w:type="character" w:customStyle="1" w:styleId="ListLabel10">
    <w:name w:val="ListLabel 10"/>
    <w:rPr>
      <w:color w:val="000000"/>
    </w:rPr>
  </w:style>
  <w:style w:type="character" w:customStyle="1" w:styleId="ListLabel11">
    <w:name w:val="ListLabel 11"/>
    <w:rPr>
      <w:color w:val="000000"/>
    </w:rPr>
  </w:style>
  <w:style w:type="character" w:customStyle="1" w:styleId="ListLabel12">
    <w:name w:val="ListLabel 12"/>
    <w:rPr>
      <w:color w:val="000000"/>
    </w:rPr>
  </w:style>
  <w:style w:type="character" w:customStyle="1" w:styleId="ListLabel13">
    <w:name w:val="ListLabel 13"/>
    <w:rPr>
      <w:color w:val="000000"/>
    </w:rPr>
  </w:style>
  <w:style w:type="character" w:customStyle="1" w:styleId="ListLabel14">
    <w:name w:val="ListLabel 14"/>
    <w:rPr>
      <w:color w:val="000000"/>
    </w:rPr>
  </w:style>
  <w:style w:type="character" w:customStyle="1" w:styleId="ListLabel15">
    <w:name w:val="ListLabel 15"/>
    <w:rPr>
      <w:color w:val="00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吳彩昕</dc:creator>
  <cp:lastModifiedBy>User</cp:lastModifiedBy>
  <cp:revision>1</cp:revision>
  <cp:lastPrinted>2018-06-06T12:28:00Z</cp:lastPrinted>
  <dcterms:created xsi:type="dcterms:W3CDTF">2018-06-06T11:30:00Z</dcterms:created>
  <dcterms:modified xsi:type="dcterms:W3CDTF">2018-11-26T02:09:00Z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