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AE" w:rsidRDefault="0029448B">
      <w:pPr>
        <w:pStyle w:val="Heading"/>
        <w:outlineLvl w:val="9"/>
      </w:pPr>
      <w:bookmarkStart w:id="0" w:name="_GoBack"/>
      <w:r>
        <w:rPr>
          <w:b w:val="0"/>
          <w:color w:val="000000"/>
        </w:rPr>
        <w:t>聘約人員人事條例草案總說明</w:t>
      </w:r>
      <w:bookmarkEnd w:id="0"/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政府事務日趨多元複雜，為達國家治理之需要，辦理</w:t>
      </w:r>
      <w:r>
        <w:rPr>
          <w:rFonts w:eastAsia="標楷體"/>
          <w:sz w:val="28"/>
        </w:rPr>
        <w:t>政府公共事務之人力，</w:t>
      </w:r>
      <w:r>
        <w:rPr>
          <w:rFonts w:ascii="標楷體" w:eastAsia="標楷體" w:hAnsi="標楷體" w:cs="標楷體"/>
          <w:sz w:val="28"/>
          <w:szCs w:val="28"/>
        </w:rPr>
        <w:t>除任用通過國家考試之公務人員執行核心業務外，亦</w:t>
      </w:r>
      <w:r>
        <w:rPr>
          <w:rFonts w:eastAsia="標楷體"/>
          <w:sz w:val="28"/>
        </w:rPr>
        <w:t>進用簽訂契約之聘用、約僱人員等</w:t>
      </w:r>
      <w:r>
        <w:rPr>
          <w:rFonts w:ascii="標楷體" w:eastAsia="標楷體" w:hAnsi="標楷體" w:cs="標楷體"/>
          <w:sz w:val="28"/>
          <w:szCs w:val="28"/>
        </w:rPr>
        <w:t>多元人力，藉用其所具備各類型專業知能，辦理直接或間接涉及公法之任務，迅速回應社會變遷，協力完成國家事務。</w:t>
      </w:r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eastAsia="標楷體"/>
          <w:sz w:val="28"/>
        </w:rPr>
        <w:t>惟上述契約型人力之人事管理法制散見各種法令規章</w:t>
      </w:r>
      <w:r>
        <w:rPr>
          <w:rFonts w:ascii="標楷體" w:eastAsia="標楷體" w:hAnsi="標楷體" w:cs="標楷體"/>
          <w:sz w:val="28"/>
          <w:szCs w:val="28"/>
        </w:rPr>
        <w:t>，為</w:t>
      </w:r>
      <w:r>
        <w:rPr>
          <w:rFonts w:eastAsia="標楷體"/>
          <w:sz w:val="28"/>
        </w:rPr>
        <w:t>明確規範所適用之法律進用關係，並</w:t>
      </w:r>
      <w:r>
        <w:rPr>
          <w:rFonts w:ascii="標楷體" w:eastAsia="標楷體" w:hAnsi="標楷體" w:cs="標楷體"/>
          <w:sz w:val="28"/>
          <w:szCs w:val="28"/>
        </w:rPr>
        <w:t>健全該等人員之工作權益，俾利提升各機關人力資源管理效益，實有整合政府公務人員外其他人力制度之必要，爰訂定本條例，建置聘約人員人事制度。</w:t>
      </w:r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基於聘約人員具執行政府公共事務之特性，與私法契約進用人員性質有別，本條例確立聘約人員和政府間屬</w:t>
      </w:r>
      <w:r>
        <w:rPr>
          <w:rFonts w:eastAsia="標楷體"/>
          <w:sz w:val="28"/>
        </w:rPr>
        <w:t>公法契約僱傭關係，且明定各機關應透過公開競爭遴用程序，進用具符合特定教育或工作專業經歷之聘約人員，並以績效續約、績效激勵和薪資衡平等原則，作為人力資源管理的指導準據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ascii="標楷體" w:eastAsia="標楷體" w:hAnsi="標楷體" w:cs="標楷體"/>
          <w:sz w:val="28"/>
          <w:szCs w:val="28"/>
        </w:rPr>
        <w:t>聘約人員因職務性質有別，具進用期限，各機關遂依年度工作考核之結果，作為續約與否之參考，其中工作考核優等者，將給與獎</w:t>
      </w:r>
      <w:r>
        <w:rPr>
          <w:rFonts w:ascii="標楷體" w:eastAsia="標楷體" w:hAnsi="標楷體" w:cs="標楷體"/>
          <w:sz w:val="28"/>
          <w:szCs w:val="28"/>
        </w:rPr>
        <w:t>金等激勵措施，前開管理措施亦不同於公務人員，意在引導聘約人員持續開發專業能量，精進工作品質。再者，為確保國家公共事務之推動達最大公共利益，聘約人員遵行</w:t>
      </w:r>
      <w:r>
        <w:rPr>
          <w:rFonts w:eastAsia="標楷體"/>
          <w:sz w:val="28"/>
        </w:rPr>
        <w:t>之</w:t>
      </w:r>
      <w:r>
        <w:rPr>
          <w:rFonts w:ascii="標楷體" w:eastAsia="標楷體" w:hAnsi="標楷體" w:cs="標楷體"/>
          <w:sz w:val="28"/>
          <w:szCs w:val="28"/>
        </w:rPr>
        <w:t>公務服務行為規範或義務應與公務人員趨近一致，其差勤管理制度亦應採相近規定。又在與公務人員俸給制度衡平之考量下，薪資設計宜更具彈性機制，期能吸引各類跨域專業技術人力。同時，衡酌聘約人員工作生涯應得於公、私部門交流，爰採勞工退休與保險制度之適用，以維持職場轉銜之順利。</w:t>
      </w:r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本條例之規定含括聘約人員之定位、進用、給與、服務事項、工作考核、契約終止、轉換機制、救濟保障等</w:t>
      </w:r>
      <w:r>
        <w:rPr>
          <w:rFonts w:ascii="標楷體" w:eastAsia="標楷體" w:hAnsi="標楷體" w:cs="標楷體"/>
          <w:color w:val="000000"/>
          <w:sz w:val="28"/>
          <w:szCs w:val="28"/>
        </w:rPr>
        <w:t>內容，以確保政府聘約人員引進之需求。</w:t>
      </w:r>
    </w:p>
    <w:p w:rsidR="00E273AE" w:rsidRDefault="0029448B">
      <w:pPr>
        <w:pStyle w:val="Standard"/>
        <w:spacing w:line="460" w:lineRule="exact"/>
        <w:ind w:firstLine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聘約人員人事條例草案分七章，其章名分別為「總則」、「進用」、「給與」、「服務行為規範」、「工作考核」、「契約終止」、「附則」。條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文計四十八條。其要點如下：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一、本條例之立法目的、用詞定義、計畫書許可、職務範圍等規定。（草案第一條至第四條）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二、聘約人員之進用，包括進用等別、積極資格之一般及例外條件、消極資格之一般及例外條件、進用程序、契約期間等規定。（草案第五條至第十七條）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三、聘約人員之給與保障，包括薪資支給條件及特別事由、保險、退休、撫慰金、退撫給與權利保障、留職停</w:t>
      </w:r>
      <w:r>
        <w:rPr>
          <w:rFonts w:ascii="標楷體" w:eastAsia="標楷體" w:hAnsi="標楷體" w:cs="標楷體"/>
          <w:color w:val="000000"/>
          <w:sz w:val="28"/>
          <w:szCs w:val="28"/>
        </w:rPr>
        <w:t>薪等規定。（草案第十八條至第二十四條）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聘約人員之服務行為規範，包括工作時間、請假期間限制、遵守國家規範、行政中立、利益衝突限制、兼任職務限制、保密義務及言論限制、離職後職務限制、離職移交義務等規定。（草案第二十五條至第三十三條）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五、聘約人員之工作考核，包括工作考核內容及期間、工作考核法律效果、考核等第之條件等規定。（草案第三十四條至第三十七條）</w:t>
      </w:r>
    </w:p>
    <w:p w:rsidR="00E273AE" w:rsidRDefault="0029448B">
      <w:pPr>
        <w:pStyle w:val="Standard"/>
        <w:spacing w:line="46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六、聘約人員之契約終止，包括機關終止契約及前置程序、個人提出終止契約等規定。（草案第三十八條至第四十一條）</w:t>
      </w:r>
    </w:p>
    <w:p w:rsidR="00E273AE" w:rsidRDefault="0029448B">
      <w:pPr>
        <w:pStyle w:val="Standard"/>
        <w:spacing w:line="460" w:lineRule="exact"/>
        <w:ind w:left="496" w:hanging="496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七、聘約人員之救濟保障程序、參與協會、現職人員轉</w:t>
      </w:r>
      <w:r>
        <w:rPr>
          <w:rFonts w:ascii="標楷體" w:eastAsia="標楷體" w:hAnsi="標楷體" w:cs="標楷體"/>
          <w:color w:val="000000"/>
          <w:sz w:val="28"/>
          <w:szCs w:val="28"/>
        </w:rPr>
        <w:t>換機制、緩衝條款、職務代理人等規定。（草案第四十二條至第四十五條）</w:t>
      </w:r>
    </w:p>
    <w:p w:rsidR="00E273AE" w:rsidRDefault="0029448B">
      <w:pPr>
        <w:pStyle w:val="Standard"/>
        <w:spacing w:line="460" w:lineRule="exact"/>
        <w:ind w:left="496" w:hanging="496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八、本條例於行政院以外之中央政府機關準用規定。（草案第四十六條）</w:t>
      </w:r>
    </w:p>
    <w:p w:rsidR="00E273AE" w:rsidRDefault="0029448B">
      <w:pPr>
        <w:pStyle w:val="Standard"/>
        <w:spacing w:line="460" w:lineRule="exact"/>
        <w:ind w:left="496" w:hanging="496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九、本條例施行細則及施行日期由行政院以命令定之。（草案第四十七條及第四十八條）</w:t>
      </w:r>
    </w:p>
    <w:p w:rsidR="00E273AE" w:rsidRDefault="00E273AE">
      <w:pPr>
        <w:pStyle w:val="Standard"/>
        <w:rPr>
          <w:rFonts w:ascii="新細明體, PMingLiU" w:eastAsia="標楷體" w:hAnsi="新細明體, PMingLiU" w:cs="新細明體, PMingLiU" w:hint="eastAsia"/>
          <w:color w:val="000000"/>
          <w:sz w:val="28"/>
          <w:szCs w:val="28"/>
        </w:rPr>
      </w:pPr>
    </w:p>
    <w:p w:rsidR="00E273AE" w:rsidRDefault="00E273AE">
      <w:pPr>
        <w:pStyle w:val="Standard"/>
        <w:rPr>
          <w:rFonts w:ascii="新細明體, PMingLiU" w:hAnsi="新細明體, PMingLiU" w:cs="新細明體, PMingLiU"/>
        </w:rPr>
      </w:pPr>
    </w:p>
    <w:p w:rsidR="00E273AE" w:rsidRDefault="00E273AE">
      <w:pPr>
        <w:pStyle w:val="Standard"/>
        <w:rPr>
          <w:rFonts w:ascii="新細明體, PMingLiU" w:hAnsi="新細明體, PMingLiU" w:cs="新細明體, PMingLiU"/>
        </w:rPr>
      </w:pPr>
    </w:p>
    <w:p w:rsidR="00E273AE" w:rsidRDefault="00E273AE">
      <w:pPr>
        <w:pStyle w:val="Standard"/>
        <w:ind w:left="425" w:hanging="425"/>
        <w:rPr>
          <w:rFonts w:ascii="新細明體, PMingLiU" w:hAnsi="新細明體, PMingLiU" w:cs="新細明體, PMingLiU"/>
        </w:rPr>
      </w:pPr>
    </w:p>
    <w:sectPr w:rsidR="00E273AE">
      <w:footerReference w:type="default" r:id="rId6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8B" w:rsidRDefault="0029448B">
      <w:r>
        <w:separator/>
      </w:r>
    </w:p>
  </w:endnote>
  <w:endnote w:type="continuationSeparator" w:id="0">
    <w:p w:rsidR="0029448B" w:rsidRDefault="0029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44" w:rsidRDefault="0029448B">
    <w:pPr>
      <w:pStyle w:val="a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046F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B0C44" w:rsidRDefault="0029448B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8B" w:rsidRDefault="0029448B">
      <w:r>
        <w:rPr>
          <w:color w:val="000000"/>
        </w:rPr>
        <w:separator/>
      </w:r>
    </w:p>
  </w:footnote>
  <w:footnote w:type="continuationSeparator" w:id="0">
    <w:p w:rsidR="0029448B" w:rsidRDefault="0029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73AE"/>
    <w:rsid w:val="000046FA"/>
    <w:rsid w:val="0029448B"/>
    <w:rsid w:val="00E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CFAE6-C689-4CB5-93B8-7BD2369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Standard"/>
    <w:pPr>
      <w:jc w:val="center"/>
      <w:outlineLvl w:val="0"/>
    </w:pPr>
    <w:rPr>
      <w:rFonts w:ascii="Cambria" w:eastAsia="標楷體" w:hAnsi="Cambria"/>
      <w:b/>
      <w:bCs/>
      <w:sz w:val="40"/>
      <w:szCs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Times New Roman" w:eastAsia="標楷體" w:hAnsi="Times New Roman"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Times New Roman" w:eastAsia="標楷體" w:hAnsi="Times New Roman"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eastAsia="標楷體" w:hAnsi="Times New Roman"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ab">
    <w:name w:val="標題 字元"/>
    <w:rPr>
      <w:rFonts w:ascii="Cambria" w:eastAsia="標楷體" w:hAnsi="Cambria" w:cs="Times New Roman"/>
      <w:b/>
      <w:bCs/>
      <w:sz w:val="40"/>
      <w:szCs w:val="32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法規會梁永興</dc:creator>
  <cp:lastModifiedBy>Administrator</cp:lastModifiedBy>
  <cp:revision>2</cp:revision>
  <cp:lastPrinted>2020-06-05T08:47:00Z</cp:lastPrinted>
  <dcterms:created xsi:type="dcterms:W3CDTF">2020-06-10T03:52:00Z</dcterms:created>
  <dcterms:modified xsi:type="dcterms:W3CDTF">2020-06-10T03:52:00Z</dcterms:modified>
</cp:coreProperties>
</file>