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1B" w:rsidRPr="00D83AD7" w:rsidRDefault="0033471B" w:rsidP="0033471B">
      <w:pPr>
        <w:jc w:val="center"/>
        <w:rPr>
          <w:rFonts w:ascii="標楷體" w:eastAsia="標楷體" w:hAnsi="標楷體"/>
          <w:sz w:val="40"/>
          <w:szCs w:val="40"/>
        </w:rPr>
      </w:pPr>
      <w:r w:rsidRPr="00D83AD7">
        <w:rPr>
          <w:rFonts w:ascii="標楷體" w:eastAsia="標楷體" w:hAnsi="標楷體" w:hint="eastAsia"/>
          <w:sz w:val="40"/>
          <w:szCs w:val="40"/>
        </w:rPr>
        <w:t>國民中小學教師授課節數訂定基準</w:t>
      </w:r>
    </w:p>
    <w:p w:rsidR="0033471B" w:rsidRPr="00D83AD7" w:rsidRDefault="0033471B" w:rsidP="0033471B">
      <w:pPr>
        <w:jc w:val="right"/>
        <w:rPr>
          <w:rFonts w:ascii="標楷體" w:eastAsia="標楷體" w:hAnsi="標楷體"/>
          <w:sz w:val="20"/>
          <w:szCs w:val="20"/>
        </w:rPr>
      </w:pPr>
      <w:r w:rsidRPr="00D83AD7">
        <w:rPr>
          <w:rFonts w:ascii="標楷體" w:eastAsia="標楷體" w:hAnsi="標楷體" w:hint="eastAsia"/>
          <w:sz w:val="20"/>
          <w:szCs w:val="20"/>
        </w:rPr>
        <w:t>教育部</w:t>
      </w:r>
      <w:r>
        <w:rPr>
          <w:rFonts w:ascii="標楷體" w:eastAsia="標楷體" w:hAnsi="標楷體" w:hint="eastAsia"/>
          <w:sz w:val="20"/>
          <w:szCs w:val="20"/>
        </w:rPr>
        <w:t>105</w:t>
      </w:r>
      <w:r w:rsidRPr="00D83AD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D83AD7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D83AD7">
        <w:rPr>
          <w:rFonts w:ascii="標楷體" w:eastAsia="標楷體" w:hAnsi="標楷體" w:hint="eastAsia"/>
          <w:sz w:val="20"/>
          <w:szCs w:val="20"/>
        </w:rPr>
        <w:t>日</w:t>
      </w:r>
      <w:r w:rsidRPr="0033471B">
        <w:rPr>
          <w:rFonts w:ascii="標楷體" w:eastAsia="標楷體" w:hAnsi="標楷體" w:hint="eastAsia"/>
          <w:color w:val="000000"/>
          <w:sz w:val="20"/>
          <w:szCs w:val="20"/>
        </w:rPr>
        <w:t>臺教授國部字第1050030051B號</w:t>
      </w:r>
      <w:r w:rsidRPr="00D83AD7">
        <w:rPr>
          <w:rFonts w:ascii="標楷體" w:eastAsia="標楷體" w:hAnsi="標楷體" w:hint="eastAsia"/>
          <w:sz w:val="20"/>
          <w:szCs w:val="20"/>
        </w:rPr>
        <w:t>令修正發布</w:t>
      </w:r>
    </w:p>
    <w:p w:rsidR="0033471B" w:rsidRPr="000C3574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教育部（以下簡稱本部）為使各領域專任教師之授課節數一致，並達總量管制之要求，特訂定本基準。</w:t>
      </w:r>
    </w:p>
    <w:p w:rsidR="0033471B" w:rsidRPr="000C3574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國民中小學專任教師之授課節數，依授課領域、科目及學校需求，每週安排十六節至二十節為原則，且不得超過二十節之上限。專任教師授課節數應以固定節數為原則，不宜因學校規模大小而不同。</w:t>
      </w:r>
    </w:p>
    <w:p w:rsidR="0033471B" w:rsidRPr="000C3574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專任教師兼任導師者，其授課節數與專任教師之差距以四節至六節為原則。</w:t>
      </w:r>
    </w:p>
    <w:p w:rsidR="0033471B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專任教師兼任行政職務，其減授節數之基準由各該主管教育行政機關訂定之。</w:t>
      </w:r>
    </w:p>
    <w:p w:rsidR="0033471B" w:rsidRPr="00B64E8C" w:rsidRDefault="0033471B" w:rsidP="0033471B">
      <w:pPr>
        <w:pStyle w:val="a3"/>
        <w:tabs>
          <w:tab w:val="left" w:pos="567"/>
          <w:tab w:val="left" w:pos="709"/>
          <w:tab w:val="left" w:pos="1276"/>
        </w:tabs>
        <w:ind w:leftChars="0" w:left="450"/>
        <w:jc w:val="both"/>
        <w:rPr>
          <w:rFonts w:ascii="標楷體" w:eastAsia="標楷體" w:hAnsi="標楷體"/>
          <w:sz w:val="27"/>
          <w:szCs w:val="27"/>
        </w:rPr>
      </w:pPr>
      <w:r w:rsidRPr="00B64E8C">
        <w:rPr>
          <w:rFonts w:ascii="標楷體" w:eastAsia="標楷體" w:hAnsi="標楷體" w:hint="eastAsia"/>
          <w:sz w:val="27"/>
          <w:szCs w:val="27"/>
        </w:rPr>
        <w:t>國立師資培育大學附設實驗國民小學專任教師兼任主任行政職務者，每週之授課節數以一節至四節為原則；兼任組長行政職務者，每週之授課節數以七節至十三節為原則。</w:t>
      </w:r>
    </w:p>
    <w:p w:rsidR="0033471B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33471B">
        <w:rPr>
          <w:rFonts w:ascii="標楷體" w:eastAsia="標楷體" w:hAnsi="標楷體" w:hint="eastAsia"/>
          <w:color w:val="000000"/>
          <w:sz w:val="27"/>
          <w:szCs w:val="27"/>
        </w:rPr>
        <w:t>輔導教師負責執行發展性及介入性輔導措施，並協助處遇性輔導措施，以學生輔導工作為主要職責；其授課時數，規定如下：</w:t>
      </w:r>
      <w:r w:rsidRPr="0033471B">
        <w:rPr>
          <w:rFonts w:ascii="標楷體" w:eastAsia="標楷體" w:hAnsi="標楷體" w:hint="eastAsia"/>
          <w:color w:val="000000"/>
          <w:sz w:val="27"/>
          <w:szCs w:val="27"/>
        </w:rPr>
        <w:br/>
        <w:t>（一）專任輔導教師不得排課。但因課務需要教授輔導相關課程者，以不超過教師兼主任之授課節數排課。</w:t>
      </w:r>
      <w:r w:rsidRPr="0033471B">
        <w:rPr>
          <w:rFonts w:ascii="標楷體" w:eastAsia="標楷體" w:hAnsi="標楷體" w:hint="eastAsia"/>
          <w:color w:val="000000"/>
          <w:sz w:val="27"/>
          <w:szCs w:val="27"/>
        </w:rPr>
        <w:br/>
        <w:t>（二）兼任輔導教師之減授節數，國民中學教師以十節為原則，國民小學教師以二節至四節為原則。</w:t>
      </w:r>
      <w:r w:rsidRPr="000C3574">
        <w:rPr>
          <w:rFonts w:ascii="標楷體" w:eastAsia="標楷體" w:hAnsi="標楷體" w:hint="eastAsia"/>
          <w:sz w:val="27"/>
          <w:szCs w:val="27"/>
        </w:rPr>
        <w:t>國民中小學之人事、會計人員，不論規模大小，不得由教師兼任，其人員之任用，應依國民教育法之規定辦理。</w:t>
      </w:r>
    </w:p>
    <w:p w:rsidR="0060299E" w:rsidRPr="0060299E" w:rsidRDefault="0060299E" w:rsidP="0060299E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 w:hint="eastAsia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國民中小學之人事、會計人員，不論規模大小，不得由教師兼任，其人員之任用，應依國民教育法之規定辦理。</w:t>
      </w:r>
      <w:bookmarkStart w:id="0" w:name="_GoBack"/>
      <w:bookmarkEnd w:id="0"/>
    </w:p>
    <w:p w:rsidR="0033471B" w:rsidRPr="000C3574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各該主管教育行政機關應訂定不同規模國民中小學之行政組織層級、單位及人員配置，發揮總量管制效益，合理調配專任、兼任及部分時間支援教學之人力，以維教學品質。</w:t>
      </w:r>
    </w:p>
    <w:p w:rsidR="0033471B" w:rsidRPr="000C3574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中央政府專案補助增置之員額，應優先運用於教師人力缺乏之學校。</w:t>
      </w:r>
    </w:p>
    <w:p w:rsidR="0033471B" w:rsidRPr="000C3574" w:rsidRDefault="0033471B" w:rsidP="0033471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0C3574">
        <w:rPr>
          <w:rFonts w:ascii="標楷體" w:eastAsia="標楷體" w:hAnsi="標楷體" w:hint="eastAsia"/>
          <w:sz w:val="27"/>
          <w:szCs w:val="27"/>
        </w:rPr>
        <w:t>各該主管教育行政機關，應依本基準規定及人力、經費等實際狀況，訂定補充規定。</w:t>
      </w:r>
    </w:p>
    <w:p w:rsidR="00D85E36" w:rsidRPr="0033471B" w:rsidRDefault="00D85E36"/>
    <w:sectPr w:rsidR="00D85E36" w:rsidRPr="00334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DE" w:rsidRDefault="007E28DE" w:rsidP="0033471B">
      <w:r>
        <w:separator/>
      </w:r>
    </w:p>
  </w:endnote>
  <w:endnote w:type="continuationSeparator" w:id="0">
    <w:p w:rsidR="007E28DE" w:rsidRDefault="007E28DE" w:rsidP="003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DE" w:rsidRDefault="007E28DE" w:rsidP="0033471B">
      <w:r>
        <w:separator/>
      </w:r>
    </w:p>
  </w:footnote>
  <w:footnote w:type="continuationSeparator" w:id="0">
    <w:p w:rsidR="007E28DE" w:rsidRDefault="007E28DE" w:rsidP="0033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8163D"/>
    <w:multiLevelType w:val="hybridMultilevel"/>
    <w:tmpl w:val="BA60982C"/>
    <w:lvl w:ilvl="0" w:tplc="F6B41D6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B"/>
    <w:rsid w:val="002C7480"/>
    <w:rsid w:val="0033471B"/>
    <w:rsid w:val="0060299E"/>
    <w:rsid w:val="007E28DE"/>
    <w:rsid w:val="00D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B2924-AA62-4A2D-8DF7-F80B443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1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0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9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770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cycuser</cp:lastModifiedBy>
  <cp:revision>2</cp:revision>
  <dcterms:created xsi:type="dcterms:W3CDTF">2016-04-18T03:21:00Z</dcterms:created>
  <dcterms:modified xsi:type="dcterms:W3CDTF">2016-04-18T03:36:00Z</dcterms:modified>
</cp:coreProperties>
</file>